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40" w:type="dxa"/>
        <w:tblLayout w:type="fixed"/>
        <w:tblLook w:val="04A0" w:firstRow="1" w:lastRow="0" w:firstColumn="1" w:lastColumn="0" w:noHBand="0" w:noVBand="1"/>
        <w:tblCaption w:val="Capacity Area 1: Teacher Leadership"/>
        <w:tblDescription w:val="Criteria and rubic"/>
      </w:tblPr>
      <w:tblGrid>
        <w:gridCol w:w="8100"/>
        <w:gridCol w:w="1080"/>
        <w:gridCol w:w="1260"/>
        <w:gridCol w:w="1440"/>
        <w:gridCol w:w="1260"/>
      </w:tblGrid>
      <w:tr w:rsidR="008658F3" w:rsidRPr="00024E92" w:rsidTr="001B362E">
        <w:trPr>
          <w:trHeight w:val="512"/>
          <w:tblHeader/>
        </w:trPr>
        <w:tc>
          <w:tcPr>
            <w:tcW w:w="8100" w:type="dxa"/>
            <w:tcBorders>
              <w:right w:val="single" w:sz="4" w:space="0" w:color="A6A6A6" w:themeColor="background1" w:themeShade="A6"/>
            </w:tcBorders>
            <w:shd w:val="clear" w:color="auto" w:fill="A6A6A6" w:themeFill="background1" w:themeFillShade="A6"/>
          </w:tcPr>
          <w:p w:rsidR="008658F3" w:rsidRPr="00EE319D" w:rsidRDefault="0038763D" w:rsidP="00880638">
            <w:pPr>
              <w:rPr>
                <w:rFonts w:cstheme="minorHAnsi"/>
                <w:b/>
                <w:bCs/>
                <w:sz w:val="28"/>
              </w:rPr>
            </w:pPr>
            <w:r>
              <w:rPr>
                <w:rFonts w:cstheme="minorHAnsi"/>
                <w:b/>
                <w:bCs/>
                <w:sz w:val="28"/>
              </w:rPr>
              <w:t>Capacity Area</w:t>
            </w:r>
            <w:r w:rsidR="00BC6F4D">
              <w:rPr>
                <w:rFonts w:cstheme="minorHAnsi"/>
                <w:b/>
                <w:bCs/>
                <w:sz w:val="28"/>
              </w:rPr>
              <w:t xml:space="preserve"> and Criteria</w:t>
            </w:r>
          </w:p>
        </w:tc>
        <w:tc>
          <w:tcPr>
            <w:tcW w:w="1080" w:type="dxa"/>
            <w:tcBorders>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8658F3" w:rsidRPr="003265D6" w:rsidRDefault="008658F3" w:rsidP="00EE319D">
            <w:pPr>
              <w:jc w:val="center"/>
              <w:rPr>
                <w:rFonts w:cstheme="minorHAnsi"/>
                <w:b/>
                <w:bCs/>
                <w:color w:val="FFFFFF" w:themeColor="background1"/>
                <w:sz w:val="20"/>
                <w:szCs w:val="20"/>
              </w:rPr>
            </w:pPr>
          </w:p>
        </w:tc>
        <w:tc>
          <w:tcPr>
            <w:tcW w:w="1260" w:type="dxa"/>
            <w:tcBorders>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8658F3" w:rsidRPr="003265D6" w:rsidRDefault="008658F3" w:rsidP="00EE319D">
            <w:pPr>
              <w:jc w:val="center"/>
              <w:rPr>
                <w:rFonts w:cstheme="minorHAnsi"/>
                <w:b/>
                <w:bCs/>
                <w:color w:val="FFFFFF" w:themeColor="background1"/>
                <w:sz w:val="20"/>
                <w:szCs w:val="20"/>
              </w:rPr>
            </w:pPr>
          </w:p>
        </w:tc>
        <w:tc>
          <w:tcPr>
            <w:tcW w:w="1440" w:type="dxa"/>
            <w:tcBorders>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8658F3" w:rsidRDefault="008658F3" w:rsidP="00EE319D">
            <w:pPr>
              <w:jc w:val="center"/>
              <w:rPr>
                <w:rFonts w:cstheme="minorHAnsi"/>
                <w:b/>
                <w:bCs/>
                <w:color w:val="FFFFFF" w:themeColor="background1"/>
                <w:sz w:val="20"/>
                <w:szCs w:val="20"/>
              </w:rPr>
            </w:pPr>
          </w:p>
        </w:tc>
        <w:tc>
          <w:tcPr>
            <w:tcW w:w="1260" w:type="dxa"/>
            <w:tcBorders>
              <w:left w:val="single" w:sz="4" w:space="0" w:color="A6A6A6" w:themeColor="background1" w:themeShade="A6"/>
            </w:tcBorders>
            <w:shd w:val="clear" w:color="auto" w:fill="A6A6A6" w:themeFill="background1" w:themeFillShade="A6"/>
            <w:vAlign w:val="center"/>
          </w:tcPr>
          <w:p w:rsidR="008658F3" w:rsidRDefault="008658F3" w:rsidP="00EE319D">
            <w:pPr>
              <w:jc w:val="center"/>
              <w:rPr>
                <w:rFonts w:cstheme="minorHAnsi"/>
                <w:b/>
                <w:bCs/>
                <w:color w:val="FFFFFF" w:themeColor="background1"/>
                <w:sz w:val="20"/>
                <w:szCs w:val="20"/>
              </w:rPr>
            </w:pPr>
          </w:p>
        </w:tc>
      </w:tr>
      <w:tr w:rsidR="000E4E55" w:rsidRPr="00024E92" w:rsidTr="00BC6F4D">
        <w:trPr>
          <w:trHeight w:val="512"/>
        </w:trPr>
        <w:tc>
          <w:tcPr>
            <w:tcW w:w="8100" w:type="dxa"/>
            <w:shd w:val="clear" w:color="auto" w:fill="FBD4B4" w:themeFill="accent6" w:themeFillTint="66"/>
          </w:tcPr>
          <w:p w:rsidR="000E4E55" w:rsidRPr="00DB587B" w:rsidRDefault="000E4E55" w:rsidP="001B362E">
            <w:pPr>
              <w:rPr>
                <w:rFonts w:cstheme="minorHAnsi"/>
                <w:b/>
                <w:bCs/>
                <w:color w:val="FFFFFF" w:themeColor="background1"/>
              </w:rPr>
            </w:pPr>
            <w:r w:rsidRPr="00EE319D">
              <w:rPr>
                <w:rFonts w:cstheme="minorHAnsi"/>
                <w:b/>
                <w:bCs/>
                <w:sz w:val="28"/>
              </w:rPr>
              <w:t>1: Teacher Leadership</w:t>
            </w:r>
          </w:p>
        </w:tc>
        <w:tc>
          <w:tcPr>
            <w:tcW w:w="1080" w:type="dxa"/>
            <w:shd w:val="clear" w:color="auto" w:fill="808080" w:themeFill="background1" w:themeFillShade="80"/>
            <w:vAlign w:val="center"/>
          </w:tcPr>
          <w:p w:rsidR="000E4E55" w:rsidRPr="003265D6" w:rsidRDefault="000E4E55" w:rsidP="00EE319D">
            <w:pPr>
              <w:jc w:val="center"/>
              <w:rPr>
                <w:rFonts w:cstheme="minorHAnsi"/>
                <w:b/>
                <w:bCs/>
                <w:color w:val="FFFFFF" w:themeColor="background1"/>
                <w:sz w:val="20"/>
                <w:szCs w:val="20"/>
              </w:rPr>
            </w:pPr>
            <w:r w:rsidRPr="003265D6">
              <w:rPr>
                <w:rFonts w:cstheme="minorHAnsi"/>
                <w:b/>
                <w:bCs/>
                <w:color w:val="FFFFFF" w:themeColor="background1"/>
                <w:sz w:val="20"/>
                <w:szCs w:val="20"/>
              </w:rPr>
              <w:t>Beginning</w:t>
            </w:r>
          </w:p>
        </w:tc>
        <w:tc>
          <w:tcPr>
            <w:tcW w:w="1260" w:type="dxa"/>
            <w:shd w:val="clear" w:color="auto" w:fill="808080" w:themeFill="background1" w:themeFillShade="80"/>
            <w:vAlign w:val="center"/>
          </w:tcPr>
          <w:p w:rsidR="000E4E55" w:rsidRPr="003265D6" w:rsidRDefault="000E4E55" w:rsidP="00EE319D">
            <w:pPr>
              <w:jc w:val="center"/>
              <w:rPr>
                <w:rFonts w:cstheme="minorHAnsi"/>
                <w:b/>
                <w:bCs/>
                <w:color w:val="FFFFFF" w:themeColor="background1"/>
                <w:sz w:val="20"/>
                <w:szCs w:val="20"/>
              </w:rPr>
            </w:pPr>
            <w:r w:rsidRPr="003265D6">
              <w:rPr>
                <w:rFonts w:cstheme="minorHAnsi"/>
                <w:b/>
                <w:bCs/>
                <w:color w:val="FFFFFF" w:themeColor="background1"/>
                <w:sz w:val="20"/>
                <w:szCs w:val="20"/>
              </w:rPr>
              <w:t>Progressing</w:t>
            </w:r>
          </w:p>
        </w:tc>
        <w:tc>
          <w:tcPr>
            <w:tcW w:w="1440" w:type="dxa"/>
            <w:shd w:val="clear" w:color="auto" w:fill="808080" w:themeFill="background1" w:themeFillShade="80"/>
            <w:vAlign w:val="center"/>
          </w:tcPr>
          <w:p w:rsidR="000E4E55" w:rsidRPr="003265D6" w:rsidRDefault="000E4E55" w:rsidP="00EE319D">
            <w:pPr>
              <w:jc w:val="center"/>
              <w:rPr>
                <w:rFonts w:cstheme="minorHAnsi"/>
                <w:b/>
                <w:bCs/>
                <w:color w:val="FFFFFF" w:themeColor="background1"/>
                <w:sz w:val="20"/>
                <w:szCs w:val="20"/>
              </w:rPr>
            </w:pPr>
            <w:r>
              <w:rPr>
                <w:rFonts w:cstheme="minorHAnsi"/>
                <w:b/>
                <w:bCs/>
                <w:color w:val="FFFFFF" w:themeColor="background1"/>
                <w:sz w:val="20"/>
                <w:szCs w:val="20"/>
              </w:rPr>
              <w:t>Implementing</w:t>
            </w:r>
            <w:r w:rsidRPr="00B56880">
              <w:rPr>
                <w:rFonts w:cstheme="minorHAnsi"/>
                <w:b/>
                <w:bCs/>
                <w:color w:val="FFFFFF" w:themeColor="background1"/>
                <w:sz w:val="20"/>
                <w:szCs w:val="20"/>
              </w:rPr>
              <w:t>/Refining</w:t>
            </w:r>
          </w:p>
        </w:tc>
        <w:tc>
          <w:tcPr>
            <w:tcW w:w="1260" w:type="dxa"/>
            <w:shd w:val="clear" w:color="auto" w:fill="808080" w:themeFill="background1" w:themeFillShade="80"/>
            <w:vAlign w:val="center"/>
          </w:tcPr>
          <w:p w:rsidR="000E4E55" w:rsidRPr="003265D6" w:rsidRDefault="000E4E55" w:rsidP="00EE319D">
            <w:pPr>
              <w:jc w:val="center"/>
              <w:rPr>
                <w:rFonts w:cstheme="minorHAnsi"/>
                <w:b/>
                <w:bCs/>
                <w:color w:val="FFFFFF" w:themeColor="background1"/>
                <w:sz w:val="20"/>
                <w:szCs w:val="20"/>
              </w:rPr>
            </w:pPr>
            <w:r>
              <w:rPr>
                <w:rFonts w:cstheme="minorHAnsi"/>
                <w:b/>
                <w:bCs/>
                <w:color w:val="FFFFFF" w:themeColor="background1"/>
                <w:sz w:val="20"/>
                <w:szCs w:val="20"/>
              </w:rPr>
              <w:t>Sustaining/Refining</w:t>
            </w:r>
          </w:p>
        </w:tc>
      </w:tr>
      <w:tr w:rsidR="000E4E55" w:rsidRPr="00024E92" w:rsidTr="00BC6F4D">
        <w:trPr>
          <w:trHeight w:val="548"/>
        </w:trPr>
        <w:tc>
          <w:tcPr>
            <w:tcW w:w="8100" w:type="dxa"/>
          </w:tcPr>
          <w:p w:rsidR="000E4E55" w:rsidRPr="001A7769" w:rsidRDefault="000E4E55" w:rsidP="00B63B89">
            <w:pPr>
              <w:pStyle w:val="ListParagraph"/>
              <w:numPr>
                <w:ilvl w:val="0"/>
                <w:numId w:val="1"/>
              </w:numPr>
              <w:rPr>
                <w:rFonts w:cstheme="minorHAnsi"/>
                <w:bCs/>
                <w:sz w:val="20"/>
                <w:szCs w:val="20"/>
              </w:rPr>
            </w:pPr>
            <w:r w:rsidRPr="001A7769">
              <w:rPr>
                <w:rFonts w:cstheme="minorHAnsi"/>
                <w:bCs/>
                <w:sz w:val="20"/>
                <w:szCs w:val="20"/>
              </w:rPr>
              <w:t xml:space="preserve">Teacher leaders engage in high quality professional learning (see </w:t>
            </w:r>
            <w:hyperlink r:id="rId13" w:history="1">
              <w:r w:rsidRPr="00710032">
                <w:rPr>
                  <w:rStyle w:val="Hyperlink"/>
                  <w:rFonts w:cstheme="minorHAnsi"/>
                  <w:bCs/>
                  <w:sz w:val="20"/>
                  <w:szCs w:val="20"/>
                </w:rPr>
                <w:t>Professional Learning</w:t>
              </w:r>
              <w:r>
                <w:rPr>
                  <w:rStyle w:val="Hyperlink"/>
                  <w:rFonts w:cstheme="minorHAnsi"/>
                  <w:bCs/>
                  <w:sz w:val="20"/>
                  <w:szCs w:val="20"/>
                </w:rPr>
                <w:t xml:space="preserve"> (PL)</w:t>
              </w:r>
              <w:r w:rsidRPr="00710032">
                <w:rPr>
                  <w:rStyle w:val="Hyperlink"/>
                  <w:rFonts w:cstheme="minorHAnsi"/>
                  <w:bCs/>
                  <w:sz w:val="20"/>
                  <w:szCs w:val="20"/>
                </w:rPr>
                <w:t xml:space="preserve"> Guidance Document</w:t>
              </w:r>
            </w:hyperlink>
            <w:r w:rsidRPr="001A7769">
              <w:rPr>
                <w:rFonts w:cstheme="minorHAnsi"/>
                <w:bCs/>
                <w:sz w:val="20"/>
                <w:szCs w:val="20"/>
              </w:rPr>
              <w:t>) in order to lead/mentor/coach others</w:t>
            </w:r>
            <w:r>
              <w:rPr>
                <w:rFonts w:cstheme="minorHAnsi"/>
                <w:bCs/>
                <w:sz w:val="20"/>
                <w:szCs w:val="20"/>
              </w:rPr>
              <w:t>.</w:t>
            </w:r>
          </w:p>
        </w:tc>
        <w:tc>
          <w:tcPr>
            <w:tcW w:w="1080" w:type="dxa"/>
          </w:tcPr>
          <w:p w:rsidR="000E4E55" w:rsidRDefault="000E4E55" w:rsidP="00DB587B">
            <w:pPr>
              <w:jc w:val="center"/>
              <w:rPr>
                <w:rFonts w:cstheme="minorHAnsi"/>
                <w:bCs/>
              </w:rPr>
            </w:pPr>
          </w:p>
        </w:tc>
        <w:tc>
          <w:tcPr>
            <w:tcW w:w="1260" w:type="dxa"/>
          </w:tcPr>
          <w:p w:rsidR="000E4E55" w:rsidRDefault="000E4E55" w:rsidP="00DB587B">
            <w:pPr>
              <w:jc w:val="center"/>
              <w:rPr>
                <w:rFonts w:cstheme="minorHAnsi"/>
                <w:bCs/>
              </w:rPr>
            </w:pPr>
          </w:p>
        </w:tc>
        <w:tc>
          <w:tcPr>
            <w:tcW w:w="1440" w:type="dxa"/>
          </w:tcPr>
          <w:p w:rsidR="000E4E55" w:rsidRDefault="000E4E55" w:rsidP="00DB587B">
            <w:pPr>
              <w:jc w:val="center"/>
              <w:rPr>
                <w:rFonts w:cstheme="minorHAnsi"/>
                <w:bCs/>
              </w:rPr>
            </w:pPr>
          </w:p>
        </w:tc>
        <w:tc>
          <w:tcPr>
            <w:tcW w:w="1260" w:type="dxa"/>
          </w:tcPr>
          <w:p w:rsidR="000E4E55" w:rsidRDefault="000E4E55" w:rsidP="00DB587B">
            <w:pPr>
              <w:jc w:val="center"/>
              <w:rPr>
                <w:rFonts w:cstheme="minorHAnsi"/>
                <w:bCs/>
              </w:rPr>
            </w:pPr>
          </w:p>
        </w:tc>
      </w:tr>
      <w:tr w:rsidR="000E4E55" w:rsidRPr="00024E92" w:rsidTr="00BC6F4D">
        <w:trPr>
          <w:trHeight w:val="341"/>
        </w:trPr>
        <w:tc>
          <w:tcPr>
            <w:tcW w:w="8100" w:type="dxa"/>
          </w:tcPr>
          <w:p w:rsidR="000E4E55" w:rsidRPr="001A7769" w:rsidRDefault="000E4E55" w:rsidP="00B63B89">
            <w:pPr>
              <w:pStyle w:val="ListParagraph"/>
              <w:numPr>
                <w:ilvl w:val="0"/>
                <w:numId w:val="1"/>
              </w:numPr>
              <w:rPr>
                <w:rFonts w:cstheme="minorHAnsi"/>
                <w:bCs/>
                <w:sz w:val="20"/>
                <w:szCs w:val="20"/>
              </w:rPr>
            </w:pPr>
            <w:r>
              <w:rPr>
                <w:rFonts w:cstheme="minorHAnsi"/>
                <w:bCs/>
                <w:sz w:val="20"/>
                <w:szCs w:val="20"/>
              </w:rPr>
              <w:t>Teacher l</w:t>
            </w:r>
            <w:r w:rsidRPr="001A7769">
              <w:rPr>
                <w:rFonts w:cstheme="minorHAnsi"/>
                <w:bCs/>
                <w:sz w:val="20"/>
                <w:szCs w:val="20"/>
              </w:rPr>
              <w:t xml:space="preserve">eaders are utilized to </w:t>
            </w:r>
            <w:r>
              <w:rPr>
                <w:rFonts w:cstheme="minorHAnsi"/>
                <w:bCs/>
                <w:sz w:val="20"/>
                <w:szCs w:val="20"/>
              </w:rPr>
              <w:t xml:space="preserve">plan and </w:t>
            </w:r>
            <w:r w:rsidRPr="001A7769">
              <w:rPr>
                <w:rFonts w:cstheme="minorHAnsi"/>
                <w:bCs/>
                <w:sz w:val="20"/>
                <w:szCs w:val="20"/>
              </w:rPr>
              <w:t>provide professional learning/mentoring/coaching</w:t>
            </w:r>
            <w:r>
              <w:rPr>
                <w:rFonts w:cstheme="minorHAnsi"/>
                <w:bCs/>
                <w:sz w:val="20"/>
                <w:szCs w:val="20"/>
              </w:rPr>
              <w:t>.</w:t>
            </w:r>
          </w:p>
        </w:tc>
        <w:tc>
          <w:tcPr>
            <w:tcW w:w="1080" w:type="dxa"/>
          </w:tcPr>
          <w:p w:rsidR="000E4E55" w:rsidRDefault="000E4E55" w:rsidP="00DB587B">
            <w:pPr>
              <w:jc w:val="center"/>
              <w:rPr>
                <w:rFonts w:cstheme="minorHAnsi"/>
                <w:bCs/>
              </w:rPr>
            </w:pPr>
          </w:p>
        </w:tc>
        <w:tc>
          <w:tcPr>
            <w:tcW w:w="1260" w:type="dxa"/>
          </w:tcPr>
          <w:p w:rsidR="000E4E55" w:rsidRDefault="000E4E55" w:rsidP="00DB587B">
            <w:pPr>
              <w:jc w:val="center"/>
              <w:rPr>
                <w:rFonts w:cstheme="minorHAnsi"/>
                <w:bCs/>
              </w:rPr>
            </w:pPr>
          </w:p>
        </w:tc>
        <w:tc>
          <w:tcPr>
            <w:tcW w:w="1440" w:type="dxa"/>
          </w:tcPr>
          <w:p w:rsidR="000E4E55" w:rsidRDefault="000E4E55" w:rsidP="00DB587B">
            <w:pPr>
              <w:jc w:val="center"/>
              <w:rPr>
                <w:rFonts w:cstheme="minorHAnsi"/>
                <w:bCs/>
              </w:rPr>
            </w:pPr>
          </w:p>
        </w:tc>
        <w:tc>
          <w:tcPr>
            <w:tcW w:w="1260" w:type="dxa"/>
          </w:tcPr>
          <w:p w:rsidR="000E4E55" w:rsidRDefault="000E4E55" w:rsidP="00DB587B">
            <w:pPr>
              <w:jc w:val="center"/>
              <w:rPr>
                <w:rFonts w:cstheme="minorHAnsi"/>
                <w:bCs/>
              </w:rPr>
            </w:pPr>
          </w:p>
        </w:tc>
      </w:tr>
      <w:tr w:rsidR="000E4E55" w:rsidRPr="00024E92" w:rsidTr="00BC6F4D">
        <w:trPr>
          <w:trHeight w:val="539"/>
        </w:trPr>
        <w:tc>
          <w:tcPr>
            <w:tcW w:w="8100" w:type="dxa"/>
          </w:tcPr>
          <w:p w:rsidR="000E4E55" w:rsidRPr="001A7769" w:rsidRDefault="000E4E55" w:rsidP="00D9734B">
            <w:pPr>
              <w:pStyle w:val="ListParagraph"/>
              <w:numPr>
                <w:ilvl w:val="0"/>
                <w:numId w:val="1"/>
              </w:numPr>
              <w:rPr>
                <w:rFonts w:cstheme="minorHAnsi"/>
                <w:bCs/>
                <w:sz w:val="20"/>
                <w:szCs w:val="20"/>
              </w:rPr>
            </w:pPr>
            <w:r>
              <w:rPr>
                <w:rFonts w:cstheme="minorHAnsi"/>
                <w:bCs/>
                <w:sz w:val="20"/>
                <w:szCs w:val="20"/>
              </w:rPr>
              <w:t>District Leadership T</w:t>
            </w:r>
            <w:r w:rsidRPr="001A7769">
              <w:rPr>
                <w:rFonts w:cstheme="minorHAnsi"/>
                <w:bCs/>
                <w:sz w:val="20"/>
                <w:szCs w:val="20"/>
              </w:rPr>
              <w:t xml:space="preserve">eam collaborates with </w:t>
            </w:r>
            <w:r>
              <w:rPr>
                <w:rFonts w:cstheme="minorHAnsi"/>
                <w:bCs/>
                <w:sz w:val="20"/>
                <w:szCs w:val="20"/>
              </w:rPr>
              <w:t>KDE E</w:t>
            </w:r>
            <w:r w:rsidRPr="001A7769">
              <w:rPr>
                <w:rFonts w:cstheme="minorHAnsi"/>
                <w:bCs/>
                <w:sz w:val="20"/>
                <w:szCs w:val="20"/>
              </w:rPr>
              <w:t xml:space="preserve">ffectiveness </w:t>
            </w:r>
            <w:r>
              <w:rPr>
                <w:rFonts w:cstheme="minorHAnsi"/>
                <w:bCs/>
                <w:sz w:val="20"/>
                <w:szCs w:val="20"/>
              </w:rPr>
              <w:t>C</w:t>
            </w:r>
            <w:r w:rsidRPr="001A7769">
              <w:rPr>
                <w:rFonts w:cstheme="minorHAnsi"/>
                <w:bCs/>
                <w:sz w:val="20"/>
                <w:szCs w:val="20"/>
              </w:rPr>
              <w:t>oach to intentionally</w:t>
            </w:r>
            <w:r>
              <w:rPr>
                <w:rFonts w:cstheme="minorHAnsi"/>
                <w:bCs/>
                <w:sz w:val="20"/>
                <w:szCs w:val="20"/>
              </w:rPr>
              <w:t xml:space="preserve"> identify, </w:t>
            </w:r>
            <w:r w:rsidRPr="001A7769">
              <w:rPr>
                <w:rFonts w:cstheme="minorHAnsi"/>
                <w:bCs/>
                <w:sz w:val="20"/>
                <w:szCs w:val="20"/>
              </w:rPr>
              <w:t>develop</w:t>
            </w:r>
            <w:r>
              <w:rPr>
                <w:rFonts w:cstheme="minorHAnsi"/>
                <w:bCs/>
                <w:sz w:val="20"/>
                <w:szCs w:val="20"/>
              </w:rPr>
              <w:t>, and utilize</w:t>
            </w:r>
            <w:r w:rsidRPr="001A7769">
              <w:rPr>
                <w:rFonts w:cstheme="minorHAnsi"/>
                <w:bCs/>
                <w:sz w:val="20"/>
                <w:szCs w:val="20"/>
              </w:rPr>
              <w:t xml:space="preserve"> teachers’ leadership skill and </w:t>
            </w:r>
            <w:r w:rsidRPr="00B56880">
              <w:rPr>
                <w:rFonts w:cstheme="minorHAnsi"/>
                <w:bCs/>
                <w:sz w:val="20"/>
                <w:szCs w:val="20"/>
              </w:rPr>
              <w:t>opportunity to support LDC, MDC and assessment literacy.</w:t>
            </w:r>
          </w:p>
        </w:tc>
        <w:tc>
          <w:tcPr>
            <w:tcW w:w="1080" w:type="dxa"/>
          </w:tcPr>
          <w:p w:rsidR="000E4E55" w:rsidRDefault="000E4E55" w:rsidP="00DB587B">
            <w:pPr>
              <w:jc w:val="center"/>
              <w:rPr>
                <w:rFonts w:cstheme="minorHAnsi"/>
                <w:bCs/>
              </w:rPr>
            </w:pPr>
          </w:p>
        </w:tc>
        <w:tc>
          <w:tcPr>
            <w:tcW w:w="1260" w:type="dxa"/>
          </w:tcPr>
          <w:p w:rsidR="000E4E55" w:rsidRDefault="000E4E55" w:rsidP="00DB587B">
            <w:pPr>
              <w:jc w:val="center"/>
              <w:rPr>
                <w:rFonts w:cstheme="minorHAnsi"/>
                <w:bCs/>
              </w:rPr>
            </w:pPr>
          </w:p>
        </w:tc>
        <w:tc>
          <w:tcPr>
            <w:tcW w:w="1440" w:type="dxa"/>
          </w:tcPr>
          <w:p w:rsidR="000E4E55" w:rsidRDefault="000E4E55" w:rsidP="00DB587B">
            <w:pPr>
              <w:jc w:val="center"/>
              <w:rPr>
                <w:rFonts w:cstheme="minorHAnsi"/>
                <w:bCs/>
              </w:rPr>
            </w:pPr>
          </w:p>
        </w:tc>
        <w:tc>
          <w:tcPr>
            <w:tcW w:w="1260" w:type="dxa"/>
          </w:tcPr>
          <w:p w:rsidR="000E4E55" w:rsidRDefault="000E4E55" w:rsidP="00DB587B">
            <w:pPr>
              <w:jc w:val="center"/>
              <w:rPr>
                <w:rFonts w:cstheme="minorHAnsi"/>
                <w:bCs/>
              </w:rPr>
            </w:pPr>
          </w:p>
        </w:tc>
      </w:tr>
      <w:tr w:rsidR="000E4E55" w:rsidRPr="00024E92" w:rsidTr="00BC6F4D">
        <w:trPr>
          <w:trHeight w:val="791"/>
        </w:trPr>
        <w:tc>
          <w:tcPr>
            <w:tcW w:w="8100" w:type="dxa"/>
          </w:tcPr>
          <w:p w:rsidR="000E4E55" w:rsidRPr="001A7769" w:rsidRDefault="000E4E55" w:rsidP="00243D89">
            <w:pPr>
              <w:pStyle w:val="ListParagraph"/>
              <w:numPr>
                <w:ilvl w:val="0"/>
                <w:numId w:val="1"/>
              </w:numPr>
              <w:rPr>
                <w:rFonts w:cstheme="minorHAnsi"/>
                <w:bCs/>
                <w:sz w:val="20"/>
                <w:szCs w:val="20"/>
              </w:rPr>
            </w:pPr>
            <w:r w:rsidRPr="001A7769">
              <w:rPr>
                <w:rFonts w:cstheme="minorHAnsi"/>
                <w:sz w:val="20"/>
                <w:szCs w:val="20"/>
              </w:rPr>
              <w:t>Educators from IT work</w:t>
            </w:r>
            <w:r>
              <w:rPr>
                <w:rFonts w:cstheme="minorHAnsi"/>
                <w:sz w:val="20"/>
                <w:szCs w:val="20"/>
              </w:rPr>
              <w:t>,</w:t>
            </w:r>
            <w:r w:rsidRPr="001A7769">
              <w:rPr>
                <w:rFonts w:cstheme="minorHAnsi"/>
                <w:sz w:val="20"/>
                <w:szCs w:val="20"/>
              </w:rPr>
              <w:t xml:space="preserve"> </w:t>
            </w:r>
            <w:r>
              <w:rPr>
                <w:rFonts w:cstheme="minorHAnsi"/>
                <w:sz w:val="20"/>
                <w:szCs w:val="20"/>
              </w:rPr>
              <w:t>the Leadership Networks,</w:t>
            </w:r>
            <w:r w:rsidRPr="001A7769">
              <w:rPr>
                <w:rFonts w:cstheme="minorHAnsi"/>
                <w:sz w:val="20"/>
                <w:szCs w:val="20"/>
              </w:rPr>
              <w:t xml:space="preserve"> and</w:t>
            </w:r>
            <w:r>
              <w:rPr>
                <w:rFonts w:cstheme="minorHAnsi"/>
                <w:sz w:val="20"/>
                <w:szCs w:val="20"/>
              </w:rPr>
              <w:t>/or</w:t>
            </w:r>
            <w:r w:rsidRPr="001A7769">
              <w:rPr>
                <w:rFonts w:cstheme="minorHAnsi"/>
                <w:sz w:val="20"/>
                <w:szCs w:val="20"/>
              </w:rPr>
              <w:t xml:space="preserve"> other related </w:t>
            </w:r>
            <w:r>
              <w:rPr>
                <w:rFonts w:cstheme="minorHAnsi"/>
                <w:sz w:val="20"/>
                <w:szCs w:val="20"/>
              </w:rPr>
              <w:t xml:space="preserve">school, district, or state </w:t>
            </w:r>
            <w:r w:rsidRPr="001A7769">
              <w:rPr>
                <w:rFonts w:cstheme="minorHAnsi"/>
                <w:sz w:val="20"/>
                <w:szCs w:val="20"/>
              </w:rPr>
              <w:t>initiatives have time to meet together to plan, reflect, observe and coach each other on</w:t>
            </w:r>
            <w:r>
              <w:rPr>
                <w:rFonts w:cstheme="minorHAnsi"/>
                <w:sz w:val="20"/>
                <w:szCs w:val="20"/>
              </w:rPr>
              <w:t xml:space="preserve"> quality K</w:t>
            </w:r>
            <w:r w:rsidRPr="001A7769">
              <w:rPr>
                <w:rFonts w:cstheme="minorHAnsi"/>
                <w:sz w:val="20"/>
                <w:szCs w:val="20"/>
              </w:rPr>
              <w:t>AS implementation.</w:t>
            </w:r>
          </w:p>
        </w:tc>
        <w:tc>
          <w:tcPr>
            <w:tcW w:w="1080" w:type="dxa"/>
          </w:tcPr>
          <w:p w:rsidR="000E4E55" w:rsidRDefault="000E4E55" w:rsidP="00DB587B">
            <w:pPr>
              <w:jc w:val="center"/>
              <w:rPr>
                <w:rFonts w:cstheme="minorHAnsi"/>
                <w:bCs/>
              </w:rPr>
            </w:pPr>
          </w:p>
        </w:tc>
        <w:tc>
          <w:tcPr>
            <w:tcW w:w="1260" w:type="dxa"/>
          </w:tcPr>
          <w:p w:rsidR="000E4E55" w:rsidRDefault="000E4E55" w:rsidP="00DB587B">
            <w:pPr>
              <w:jc w:val="center"/>
              <w:rPr>
                <w:rFonts w:cstheme="minorHAnsi"/>
                <w:bCs/>
              </w:rPr>
            </w:pPr>
          </w:p>
        </w:tc>
        <w:tc>
          <w:tcPr>
            <w:tcW w:w="1440" w:type="dxa"/>
          </w:tcPr>
          <w:p w:rsidR="000E4E55" w:rsidRDefault="000E4E55" w:rsidP="00DB587B">
            <w:pPr>
              <w:jc w:val="center"/>
              <w:rPr>
                <w:rFonts w:cstheme="minorHAnsi"/>
                <w:bCs/>
              </w:rPr>
            </w:pPr>
          </w:p>
        </w:tc>
        <w:tc>
          <w:tcPr>
            <w:tcW w:w="1260" w:type="dxa"/>
          </w:tcPr>
          <w:p w:rsidR="000E4E55" w:rsidRDefault="000E4E55" w:rsidP="00DB587B">
            <w:pPr>
              <w:jc w:val="center"/>
              <w:rPr>
                <w:rFonts w:cstheme="minorHAnsi"/>
                <w:bCs/>
              </w:rPr>
            </w:pPr>
          </w:p>
        </w:tc>
      </w:tr>
      <w:tr w:rsidR="000E4E55" w:rsidRPr="00024E92" w:rsidTr="00BC6F4D">
        <w:trPr>
          <w:trHeight w:val="530"/>
        </w:trPr>
        <w:tc>
          <w:tcPr>
            <w:tcW w:w="8100" w:type="dxa"/>
          </w:tcPr>
          <w:p w:rsidR="000E4E55" w:rsidRPr="001A7769" w:rsidRDefault="000E4E55" w:rsidP="001A7769">
            <w:pPr>
              <w:pStyle w:val="ListParagraph"/>
              <w:numPr>
                <w:ilvl w:val="0"/>
                <w:numId w:val="1"/>
              </w:numPr>
              <w:rPr>
                <w:rFonts w:cstheme="minorHAnsi"/>
                <w:sz w:val="20"/>
                <w:szCs w:val="20"/>
              </w:rPr>
            </w:pPr>
            <w:r w:rsidRPr="001A7769">
              <w:rPr>
                <w:rFonts w:cstheme="minorHAnsi"/>
                <w:sz w:val="20"/>
                <w:szCs w:val="20"/>
              </w:rPr>
              <w:t xml:space="preserve">Teacher leaders participate as key members of the district leadership team to develop, monitor, adjust and implement the </w:t>
            </w:r>
            <w:r>
              <w:rPr>
                <w:rFonts w:cstheme="minorHAnsi"/>
                <w:sz w:val="20"/>
                <w:szCs w:val="20"/>
              </w:rPr>
              <w:t>Instructional Transformation p</w:t>
            </w:r>
            <w:r w:rsidRPr="001A7769">
              <w:rPr>
                <w:rFonts w:cstheme="minorHAnsi"/>
                <w:sz w:val="20"/>
                <w:szCs w:val="20"/>
              </w:rPr>
              <w:t xml:space="preserve">lan. </w:t>
            </w:r>
          </w:p>
        </w:tc>
        <w:tc>
          <w:tcPr>
            <w:tcW w:w="1080" w:type="dxa"/>
          </w:tcPr>
          <w:p w:rsidR="000E4E55" w:rsidRPr="00024E92" w:rsidRDefault="000E4E55" w:rsidP="00DB587B">
            <w:pPr>
              <w:jc w:val="center"/>
              <w:rPr>
                <w:rFonts w:cstheme="minorHAnsi"/>
                <w:bCs/>
              </w:rPr>
            </w:pPr>
          </w:p>
        </w:tc>
        <w:tc>
          <w:tcPr>
            <w:tcW w:w="1260" w:type="dxa"/>
          </w:tcPr>
          <w:p w:rsidR="000E4E55" w:rsidRPr="00024E92" w:rsidRDefault="000E4E55" w:rsidP="00DB587B">
            <w:pPr>
              <w:jc w:val="center"/>
              <w:rPr>
                <w:rFonts w:cstheme="minorHAnsi"/>
                <w:bCs/>
              </w:rPr>
            </w:pPr>
          </w:p>
        </w:tc>
        <w:tc>
          <w:tcPr>
            <w:tcW w:w="1440" w:type="dxa"/>
          </w:tcPr>
          <w:p w:rsidR="000E4E55" w:rsidRPr="00024E92" w:rsidRDefault="000E4E55" w:rsidP="00DB587B">
            <w:pPr>
              <w:jc w:val="center"/>
              <w:rPr>
                <w:rFonts w:cstheme="minorHAnsi"/>
                <w:bCs/>
              </w:rPr>
            </w:pPr>
          </w:p>
        </w:tc>
        <w:tc>
          <w:tcPr>
            <w:tcW w:w="1260" w:type="dxa"/>
          </w:tcPr>
          <w:p w:rsidR="000E4E55" w:rsidRPr="00024E92" w:rsidRDefault="000E4E55" w:rsidP="00DB587B">
            <w:pPr>
              <w:jc w:val="center"/>
              <w:rPr>
                <w:rFonts w:cstheme="minorHAnsi"/>
                <w:bCs/>
              </w:rPr>
            </w:pPr>
          </w:p>
        </w:tc>
      </w:tr>
      <w:tr w:rsidR="000E4E55" w:rsidRPr="00024E92" w:rsidTr="00BC6F4D">
        <w:trPr>
          <w:trHeight w:val="809"/>
        </w:trPr>
        <w:tc>
          <w:tcPr>
            <w:tcW w:w="8100" w:type="dxa"/>
          </w:tcPr>
          <w:p w:rsidR="000E4E55" w:rsidRPr="001A7769" w:rsidRDefault="000E4E55" w:rsidP="000211F1">
            <w:pPr>
              <w:pStyle w:val="ListParagraph"/>
              <w:numPr>
                <w:ilvl w:val="0"/>
                <w:numId w:val="1"/>
              </w:numPr>
              <w:rPr>
                <w:rFonts w:cstheme="minorHAnsi"/>
                <w:bCs/>
                <w:sz w:val="20"/>
                <w:szCs w:val="20"/>
              </w:rPr>
            </w:pPr>
            <w:r>
              <w:rPr>
                <w:rFonts w:cstheme="minorHAnsi"/>
                <w:bCs/>
                <w:sz w:val="20"/>
                <w:szCs w:val="20"/>
              </w:rPr>
              <w:t>Teacher l</w:t>
            </w:r>
            <w:r w:rsidRPr="001A7769">
              <w:rPr>
                <w:rFonts w:cstheme="minorHAnsi"/>
                <w:bCs/>
                <w:sz w:val="20"/>
                <w:szCs w:val="20"/>
              </w:rPr>
              <w:t>eaders are compensated</w:t>
            </w:r>
            <w:r>
              <w:rPr>
                <w:rFonts w:cstheme="minorHAnsi"/>
                <w:bCs/>
                <w:sz w:val="20"/>
                <w:szCs w:val="20"/>
              </w:rPr>
              <w:t>/supported</w:t>
            </w:r>
            <w:r w:rsidRPr="001A7769">
              <w:rPr>
                <w:rFonts w:cstheme="minorHAnsi"/>
                <w:bCs/>
                <w:sz w:val="20"/>
                <w:szCs w:val="20"/>
              </w:rPr>
              <w:t xml:space="preserve"> (i.e., stipend, release time, hybrid role</w:t>
            </w:r>
            <w:r>
              <w:rPr>
                <w:rFonts w:cstheme="minorHAnsi"/>
                <w:bCs/>
                <w:sz w:val="20"/>
                <w:szCs w:val="20"/>
              </w:rPr>
              <w:t>, duty reassignment, supplemental PL opportunities</w:t>
            </w:r>
            <w:r w:rsidRPr="001A7769">
              <w:rPr>
                <w:rFonts w:cstheme="minorHAnsi"/>
                <w:bCs/>
                <w:sz w:val="20"/>
                <w:szCs w:val="20"/>
              </w:rPr>
              <w:t xml:space="preserve">) for any and all work in their role to </w:t>
            </w:r>
            <w:r>
              <w:rPr>
                <w:rFonts w:cstheme="minorHAnsi"/>
                <w:bCs/>
                <w:sz w:val="20"/>
                <w:szCs w:val="20"/>
              </w:rPr>
              <w:t>promote</w:t>
            </w:r>
            <w:r w:rsidRPr="001A7769">
              <w:rPr>
                <w:rFonts w:cstheme="minorHAnsi"/>
                <w:bCs/>
                <w:sz w:val="20"/>
                <w:szCs w:val="20"/>
              </w:rPr>
              <w:t xml:space="preserve"> the implementation of KAS.  </w:t>
            </w:r>
          </w:p>
        </w:tc>
        <w:tc>
          <w:tcPr>
            <w:tcW w:w="1080" w:type="dxa"/>
          </w:tcPr>
          <w:p w:rsidR="000E4E55" w:rsidRPr="00024E92" w:rsidRDefault="000E4E55" w:rsidP="00771F35">
            <w:pPr>
              <w:rPr>
                <w:rFonts w:cstheme="minorHAnsi"/>
              </w:rPr>
            </w:pPr>
          </w:p>
        </w:tc>
        <w:tc>
          <w:tcPr>
            <w:tcW w:w="1260" w:type="dxa"/>
          </w:tcPr>
          <w:p w:rsidR="000E4E55" w:rsidRPr="00024E92" w:rsidRDefault="000E4E55" w:rsidP="00DB587B">
            <w:pPr>
              <w:jc w:val="center"/>
              <w:rPr>
                <w:rFonts w:cstheme="minorHAnsi"/>
                <w:bCs/>
              </w:rPr>
            </w:pPr>
          </w:p>
        </w:tc>
        <w:tc>
          <w:tcPr>
            <w:tcW w:w="1440" w:type="dxa"/>
          </w:tcPr>
          <w:p w:rsidR="000E4E55" w:rsidRPr="00024E92" w:rsidRDefault="000E4E55" w:rsidP="00DB587B">
            <w:pPr>
              <w:jc w:val="center"/>
              <w:rPr>
                <w:rFonts w:cstheme="minorHAnsi"/>
                <w:bCs/>
              </w:rPr>
            </w:pPr>
          </w:p>
        </w:tc>
        <w:tc>
          <w:tcPr>
            <w:tcW w:w="1260" w:type="dxa"/>
          </w:tcPr>
          <w:p w:rsidR="000E4E55" w:rsidRPr="00024E92" w:rsidRDefault="000E4E55" w:rsidP="00DB587B">
            <w:pPr>
              <w:jc w:val="center"/>
              <w:rPr>
                <w:rFonts w:cstheme="minorHAnsi"/>
                <w:bCs/>
              </w:rPr>
            </w:pPr>
          </w:p>
        </w:tc>
      </w:tr>
      <w:tr w:rsidR="000E4E55" w:rsidRPr="00024E92" w:rsidTr="00BC6F4D">
        <w:trPr>
          <w:trHeight w:val="611"/>
        </w:trPr>
        <w:tc>
          <w:tcPr>
            <w:tcW w:w="8100" w:type="dxa"/>
          </w:tcPr>
          <w:p w:rsidR="000E4E55" w:rsidRPr="001A7769" w:rsidRDefault="000E4E55" w:rsidP="00B56880">
            <w:pPr>
              <w:pStyle w:val="ListParagraph"/>
              <w:numPr>
                <w:ilvl w:val="0"/>
                <w:numId w:val="1"/>
              </w:numPr>
              <w:rPr>
                <w:rFonts w:cstheme="minorHAnsi"/>
                <w:bCs/>
                <w:sz w:val="20"/>
                <w:szCs w:val="20"/>
              </w:rPr>
            </w:pPr>
            <w:r w:rsidRPr="001A7769">
              <w:rPr>
                <w:rFonts w:cstheme="minorHAnsi"/>
                <w:bCs/>
                <w:sz w:val="20"/>
                <w:szCs w:val="20"/>
              </w:rPr>
              <w:t>The district intentionally explores</w:t>
            </w:r>
            <w:r w:rsidRPr="00B56880">
              <w:rPr>
                <w:rFonts w:cstheme="minorHAnsi"/>
                <w:bCs/>
                <w:sz w:val="20"/>
                <w:szCs w:val="20"/>
              </w:rPr>
              <w:t xml:space="preserve"> ways </w:t>
            </w:r>
            <w:r w:rsidRPr="001A7769">
              <w:rPr>
                <w:rFonts w:cstheme="minorHAnsi"/>
                <w:bCs/>
                <w:sz w:val="20"/>
                <w:szCs w:val="20"/>
              </w:rPr>
              <w:t>for teachers to lead from their classrooms and be agents of positive change.</w:t>
            </w:r>
          </w:p>
        </w:tc>
        <w:tc>
          <w:tcPr>
            <w:tcW w:w="1080" w:type="dxa"/>
          </w:tcPr>
          <w:p w:rsidR="000E4E55" w:rsidRPr="00024E92" w:rsidRDefault="000E4E55" w:rsidP="00DB587B">
            <w:pPr>
              <w:jc w:val="center"/>
              <w:rPr>
                <w:rFonts w:cstheme="minorHAnsi"/>
                <w:bCs/>
              </w:rPr>
            </w:pPr>
          </w:p>
        </w:tc>
        <w:tc>
          <w:tcPr>
            <w:tcW w:w="1260" w:type="dxa"/>
          </w:tcPr>
          <w:p w:rsidR="000E4E55" w:rsidRPr="00024E92" w:rsidRDefault="000E4E55" w:rsidP="00DB587B">
            <w:pPr>
              <w:jc w:val="center"/>
              <w:rPr>
                <w:rFonts w:cstheme="minorHAnsi"/>
                <w:bCs/>
              </w:rPr>
            </w:pPr>
          </w:p>
        </w:tc>
        <w:tc>
          <w:tcPr>
            <w:tcW w:w="1440" w:type="dxa"/>
          </w:tcPr>
          <w:p w:rsidR="000E4E55" w:rsidRPr="00024E92" w:rsidRDefault="000E4E55" w:rsidP="00DB587B">
            <w:pPr>
              <w:jc w:val="center"/>
              <w:rPr>
                <w:rFonts w:cstheme="minorHAnsi"/>
                <w:bCs/>
              </w:rPr>
            </w:pPr>
          </w:p>
        </w:tc>
        <w:tc>
          <w:tcPr>
            <w:tcW w:w="1260" w:type="dxa"/>
          </w:tcPr>
          <w:p w:rsidR="000E4E55" w:rsidRPr="00024E92" w:rsidRDefault="000E4E55" w:rsidP="00DB587B">
            <w:pPr>
              <w:jc w:val="center"/>
              <w:rPr>
                <w:rFonts w:cstheme="minorHAnsi"/>
                <w:bCs/>
              </w:rPr>
            </w:pPr>
          </w:p>
        </w:tc>
      </w:tr>
      <w:tr w:rsidR="00382F15" w:rsidRPr="00024E92" w:rsidTr="00BC6F4D">
        <w:trPr>
          <w:trHeight w:val="611"/>
        </w:trPr>
        <w:tc>
          <w:tcPr>
            <w:tcW w:w="8100" w:type="dxa"/>
            <w:tcBorders>
              <w:right w:val="single" w:sz="4" w:space="0" w:color="FBD4B4" w:themeColor="accent6" w:themeTint="66"/>
            </w:tcBorders>
            <w:shd w:val="clear" w:color="auto" w:fill="FBD4B4" w:themeFill="accent6" w:themeFillTint="66"/>
          </w:tcPr>
          <w:p w:rsidR="001B362E" w:rsidRDefault="00382F15" w:rsidP="001B362E">
            <w:pPr>
              <w:rPr>
                <w:b/>
              </w:rPr>
            </w:pPr>
            <w:r w:rsidRPr="00382F15">
              <w:rPr>
                <w:b/>
              </w:rPr>
              <w:t>Comments/Next Steps:</w:t>
            </w:r>
          </w:p>
          <w:p w:rsidR="00BC6F4D" w:rsidRPr="001B362E" w:rsidRDefault="00BC6F4D" w:rsidP="001B362E">
            <w:pPr>
              <w:rPr>
                <w:rFonts w:cstheme="minorHAnsi"/>
                <w:bCs/>
                <w:sz w:val="144"/>
                <w:szCs w:val="144"/>
              </w:rPr>
            </w:pPr>
          </w:p>
          <w:p w:rsidR="001B362E" w:rsidRPr="001B362E" w:rsidRDefault="001B362E" w:rsidP="001B362E">
            <w:pPr>
              <w:rPr>
                <w:rFonts w:cstheme="minorHAnsi"/>
                <w:bCs/>
                <w:sz w:val="144"/>
                <w:szCs w:val="144"/>
              </w:rPr>
            </w:pPr>
          </w:p>
        </w:tc>
        <w:tc>
          <w:tcPr>
            <w:tcW w:w="1080" w:type="dxa"/>
            <w:tcBorders>
              <w:left w:val="single" w:sz="4" w:space="0" w:color="FBD4B4" w:themeColor="accent6" w:themeTint="66"/>
              <w:right w:val="single" w:sz="4" w:space="0" w:color="FBD4B4" w:themeColor="accent6" w:themeTint="66"/>
            </w:tcBorders>
            <w:shd w:val="clear" w:color="auto" w:fill="FBD4B4" w:themeFill="accent6" w:themeFillTint="66"/>
          </w:tcPr>
          <w:p w:rsidR="00382F15" w:rsidRPr="00024E92" w:rsidRDefault="00382F15" w:rsidP="00DB587B">
            <w:pPr>
              <w:jc w:val="center"/>
              <w:rPr>
                <w:rFonts w:cstheme="minorHAnsi"/>
                <w:bCs/>
              </w:rPr>
            </w:pPr>
          </w:p>
        </w:tc>
        <w:tc>
          <w:tcPr>
            <w:tcW w:w="1260" w:type="dxa"/>
            <w:tcBorders>
              <w:left w:val="single" w:sz="4" w:space="0" w:color="FBD4B4" w:themeColor="accent6" w:themeTint="66"/>
              <w:right w:val="single" w:sz="4" w:space="0" w:color="FBD4B4" w:themeColor="accent6" w:themeTint="66"/>
            </w:tcBorders>
            <w:shd w:val="clear" w:color="auto" w:fill="FBD4B4" w:themeFill="accent6" w:themeFillTint="66"/>
          </w:tcPr>
          <w:p w:rsidR="00382F15" w:rsidRPr="00024E92" w:rsidRDefault="00382F15" w:rsidP="00DB587B">
            <w:pPr>
              <w:jc w:val="center"/>
              <w:rPr>
                <w:rFonts w:cstheme="minorHAnsi"/>
                <w:bCs/>
              </w:rPr>
            </w:pPr>
          </w:p>
        </w:tc>
        <w:tc>
          <w:tcPr>
            <w:tcW w:w="1440" w:type="dxa"/>
            <w:tcBorders>
              <w:left w:val="single" w:sz="4" w:space="0" w:color="FBD4B4" w:themeColor="accent6" w:themeTint="66"/>
              <w:right w:val="single" w:sz="4" w:space="0" w:color="FBD4B4" w:themeColor="accent6" w:themeTint="66"/>
            </w:tcBorders>
            <w:shd w:val="clear" w:color="auto" w:fill="FBD4B4" w:themeFill="accent6" w:themeFillTint="66"/>
          </w:tcPr>
          <w:p w:rsidR="00382F15" w:rsidRPr="00024E92" w:rsidRDefault="00382F15" w:rsidP="00DB587B">
            <w:pPr>
              <w:jc w:val="center"/>
              <w:rPr>
                <w:rFonts w:cstheme="minorHAnsi"/>
                <w:bCs/>
              </w:rPr>
            </w:pPr>
          </w:p>
        </w:tc>
        <w:tc>
          <w:tcPr>
            <w:tcW w:w="1260" w:type="dxa"/>
            <w:tcBorders>
              <w:left w:val="single" w:sz="4" w:space="0" w:color="FBD4B4" w:themeColor="accent6" w:themeTint="66"/>
            </w:tcBorders>
            <w:shd w:val="clear" w:color="auto" w:fill="FBD4B4" w:themeFill="accent6" w:themeFillTint="66"/>
          </w:tcPr>
          <w:p w:rsidR="00382F15" w:rsidRPr="00024E92" w:rsidRDefault="00382F15" w:rsidP="00DB587B">
            <w:pPr>
              <w:jc w:val="center"/>
              <w:rPr>
                <w:rFonts w:cstheme="minorHAnsi"/>
                <w:bCs/>
              </w:rPr>
            </w:pPr>
          </w:p>
        </w:tc>
      </w:tr>
      <w:tr w:rsidR="000E4E55" w:rsidRPr="00024E92" w:rsidTr="00BC6F4D">
        <w:trPr>
          <w:trHeight w:val="503"/>
        </w:trPr>
        <w:tc>
          <w:tcPr>
            <w:tcW w:w="8100" w:type="dxa"/>
            <w:shd w:val="clear" w:color="auto" w:fill="DDD9C3" w:themeFill="background2" w:themeFillShade="E6"/>
          </w:tcPr>
          <w:p w:rsidR="000E4E55" w:rsidRPr="00382F15" w:rsidRDefault="000E4E55" w:rsidP="00880638">
            <w:pPr>
              <w:rPr>
                <w:rFonts w:cstheme="minorHAnsi"/>
                <w:b/>
                <w:bCs/>
                <w:sz w:val="28"/>
              </w:rPr>
            </w:pPr>
            <w:r w:rsidRPr="00382F15">
              <w:rPr>
                <w:rFonts w:cstheme="minorHAnsi"/>
                <w:b/>
                <w:bCs/>
                <w:sz w:val="28"/>
              </w:rPr>
              <w:lastRenderedPageBreak/>
              <w:t>2: KAS Implementation through LDC</w:t>
            </w:r>
          </w:p>
          <w:p w:rsidR="000E4E55" w:rsidRPr="00DB587B" w:rsidRDefault="000E4E55" w:rsidP="00880638">
            <w:pPr>
              <w:rPr>
                <w:rFonts w:cstheme="minorHAnsi"/>
                <w:b/>
                <w:bCs/>
                <w:color w:val="FFFFFF" w:themeColor="background1"/>
              </w:rPr>
            </w:pPr>
          </w:p>
        </w:tc>
        <w:tc>
          <w:tcPr>
            <w:tcW w:w="108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Beginning</w:t>
            </w:r>
          </w:p>
        </w:tc>
        <w:tc>
          <w:tcPr>
            <w:tcW w:w="126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Progressing</w:t>
            </w:r>
          </w:p>
        </w:tc>
        <w:tc>
          <w:tcPr>
            <w:tcW w:w="1440" w:type="dxa"/>
            <w:shd w:val="clear" w:color="auto" w:fill="808080" w:themeFill="background1" w:themeFillShade="80"/>
            <w:vAlign w:val="center"/>
          </w:tcPr>
          <w:p w:rsidR="000E4E55" w:rsidRPr="008E4EF5" w:rsidRDefault="000E4E55" w:rsidP="00382F15">
            <w:pPr>
              <w:jc w:val="center"/>
              <w:rPr>
                <w:rFonts w:cstheme="minorHAnsi"/>
                <w:b/>
                <w:bCs/>
                <w:color w:val="FFFFFF" w:themeColor="background1"/>
                <w:sz w:val="20"/>
                <w:szCs w:val="20"/>
              </w:rPr>
            </w:pPr>
            <w:r w:rsidRPr="008E4EF5">
              <w:rPr>
                <w:rFonts w:cstheme="minorHAnsi"/>
                <w:b/>
                <w:bCs/>
                <w:color w:val="FFFFFF" w:themeColor="background1"/>
                <w:sz w:val="20"/>
                <w:szCs w:val="20"/>
              </w:rPr>
              <w:t>Implementing/Refining</w:t>
            </w:r>
          </w:p>
        </w:tc>
        <w:tc>
          <w:tcPr>
            <w:tcW w:w="1260" w:type="dxa"/>
            <w:shd w:val="clear" w:color="auto" w:fill="808080" w:themeFill="background1" w:themeFillShade="80"/>
            <w:vAlign w:val="center"/>
          </w:tcPr>
          <w:p w:rsidR="000E4E55" w:rsidRPr="008E4EF5" w:rsidRDefault="000E4E55" w:rsidP="00382F15">
            <w:pPr>
              <w:jc w:val="center"/>
              <w:rPr>
                <w:rFonts w:cstheme="minorHAnsi"/>
                <w:b/>
                <w:bCs/>
                <w:color w:val="FFFFFF" w:themeColor="background1"/>
                <w:sz w:val="20"/>
                <w:szCs w:val="20"/>
              </w:rPr>
            </w:pPr>
            <w:r w:rsidRPr="008E4EF5">
              <w:rPr>
                <w:rFonts w:cstheme="minorHAnsi"/>
                <w:b/>
                <w:bCs/>
                <w:color w:val="FFFFFF" w:themeColor="background1"/>
                <w:sz w:val="20"/>
                <w:szCs w:val="20"/>
              </w:rPr>
              <w:t>Sustaining/Refining</w:t>
            </w:r>
          </w:p>
        </w:tc>
      </w:tr>
      <w:tr w:rsidR="000E4E55" w:rsidRPr="00024E92" w:rsidTr="00BC6F4D">
        <w:trPr>
          <w:trHeight w:val="368"/>
        </w:trPr>
        <w:tc>
          <w:tcPr>
            <w:tcW w:w="8100" w:type="dxa"/>
          </w:tcPr>
          <w:p w:rsidR="000E4E55" w:rsidRPr="00F96181" w:rsidRDefault="000E4E55" w:rsidP="008946A5">
            <w:pPr>
              <w:pStyle w:val="ListParagraph"/>
              <w:numPr>
                <w:ilvl w:val="0"/>
                <w:numId w:val="2"/>
              </w:numPr>
              <w:rPr>
                <w:rFonts w:cstheme="minorHAnsi"/>
                <w:bCs/>
                <w:sz w:val="20"/>
                <w:szCs w:val="20"/>
              </w:rPr>
            </w:pPr>
            <w:r w:rsidRPr="00F96181">
              <w:rPr>
                <w:rFonts w:cstheme="minorHAnsi"/>
                <w:bCs/>
                <w:sz w:val="20"/>
                <w:szCs w:val="20"/>
              </w:rPr>
              <w:t xml:space="preserve">Educators participate in </w:t>
            </w:r>
            <w:r>
              <w:rPr>
                <w:rFonts w:cstheme="minorHAnsi"/>
                <w:bCs/>
                <w:sz w:val="20"/>
                <w:szCs w:val="20"/>
              </w:rPr>
              <w:t>LDC</w:t>
            </w:r>
            <w:r w:rsidRPr="00F96181">
              <w:rPr>
                <w:rFonts w:cstheme="minorHAnsi"/>
                <w:bCs/>
                <w:sz w:val="20"/>
                <w:szCs w:val="20"/>
              </w:rPr>
              <w:t xml:space="preserve"> professional learning and implement LDC in the classroom. </w:t>
            </w:r>
          </w:p>
        </w:tc>
        <w:tc>
          <w:tcPr>
            <w:tcW w:w="1080" w:type="dxa"/>
          </w:tcPr>
          <w:p w:rsidR="000E4E55" w:rsidRPr="00024E92" w:rsidRDefault="000E4E55" w:rsidP="00B46326">
            <w:pPr>
              <w:rPr>
                <w:rFonts w:cstheme="minorHAnsi"/>
                <w:bCs/>
              </w:rPr>
            </w:pPr>
          </w:p>
        </w:tc>
        <w:tc>
          <w:tcPr>
            <w:tcW w:w="1260" w:type="dxa"/>
          </w:tcPr>
          <w:p w:rsidR="000E4E55" w:rsidRPr="00024E92" w:rsidRDefault="000E4E55" w:rsidP="00B46326">
            <w:pPr>
              <w:rPr>
                <w:rFonts w:cstheme="minorHAnsi"/>
                <w:bCs/>
              </w:rPr>
            </w:pPr>
          </w:p>
        </w:tc>
        <w:tc>
          <w:tcPr>
            <w:tcW w:w="1440" w:type="dxa"/>
          </w:tcPr>
          <w:p w:rsidR="000E4E55" w:rsidRPr="00024E92" w:rsidRDefault="000E4E55" w:rsidP="00B46326">
            <w:pPr>
              <w:rPr>
                <w:rFonts w:cstheme="minorHAnsi"/>
                <w:bCs/>
              </w:rPr>
            </w:pPr>
          </w:p>
        </w:tc>
        <w:tc>
          <w:tcPr>
            <w:tcW w:w="1260" w:type="dxa"/>
          </w:tcPr>
          <w:p w:rsidR="000E4E55" w:rsidRPr="00024E92" w:rsidRDefault="000E4E55" w:rsidP="00B46326">
            <w:pPr>
              <w:rPr>
                <w:rFonts w:cstheme="minorHAnsi"/>
                <w:bCs/>
              </w:rPr>
            </w:pPr>
          </w:p>
        </w:tc>
      </w:tr>
      <w:tr w:rsidR="000E4E55" w:rsidRPr="00024E92" w:rsidTr="00BC6F4D">
        <w:trPr>
          <w:trHeight w:val="620"/>
        </w:trPr>
        <w:tc>
          <w:tcPr>
            <w:tcW w:w="8100" w:type="dxa"/>
          </w:tcPr>
          <w:p w:rsidR="000E4E55" w:rsidRPr="00F96181" w:rsidRDefault="000E4E55" w:rsidP="00A110D3">
            <w:pPr>
              <w:pStyle w:val="ListParagraph"/>
              <w:numPr>
                <w:ilvl w:val="0"/>
                <w:numId w:val="2"/>
              </w:numPr>
              <w:rPr>
                <w:rFonts w:cstheme="minorHAnsi"/>
                <w:bCs/>
                <w:sz w:val="20"/>
                <w:szCs w:val="20"/>
              </w:rPr>
            </w:pPr>
            <w:r w:rsidRPr="00F96181">
              <w:rPr>
                <w:rFonts w:cstheme="minorHAnsi"/>
                <w:sz w:val="20"/>
                <w:szCs w:val="20"/>
              </w:rPr>
              <w:t>Educators use student work and data</w:t>
            </w:r>
            <w:r>
              <w:rPr>
                <w:rFonts w:cstheme="minorHAnsi"/>
                <w:sz w:val="20"/>
                <w:szCs w:val="20"/>
              </w:rPr>
              <w:t xml:space="preserve"> from modules taught</w:t>
            </w:r>
            <w:r w:rsidRPr="00F96181">
              <w:rPr>
                <w:rFonts w:cstheme="minorHAnsi"/>
                <w:sz w:val="20"/>
                <w:szCs w:val="20"/>
              </w:rPr>
              <w:t xml:space="preserve"> to inform instructional practice, </w:t>
            </w:r>
            <w:r w:rsidRPr="00F96181">
              <w:rPr>
                <w:sz w:val="20"/>
                <w:szCs w:val="20"/>
              </w:rPr>
              <w:t>professional growth needs, and student learning</w:t>
            </w:r>
            <w:r>
              <w:rPr>
                <w:sz w:val="20"/>
                <w:szCs w:val="20"/>
              </w:rPr>
              <w:t xml:space="preserve"> needs</w:t>
            </w:r>
            <w:r w:rsidRPr="00F96181">
              <w:rPr>
                <w:sz w:val="20"/>
                <w:szCs w:val="20"/>
              </w:rPr>
              <w:t>.</w:t>
            </w:r>
            <w:r w:rsidRPr="00F96181">
              <w:rPr>
                <w:rFonts w:cstheme="minorHAnsi"/>
                <w:bCs/>
                <w:sz w:val="20"/>
                <w:szCs w:val="20"/>
              </w:rPr>
              <w:t xml:space="preserve"> </w:t>
            </w:r>
          </w:p>
        </w:tc>
        <w:tc>
          <w:tcPr>
            <w:tcW w:w="1080" w:type="dxa"/>
          </w:tcPr>
          <w:p w:rsidR="000E4E55" w:rsidRPr="00C742BE" w:rsidRDefault="000E4E55" w:rsidP="003033F0">
            <w:pPr>
              <w:rPr>
                <w:rFonts w:cstheme="minorHAnsi"/>
              </w:rPr>
            </w:pPr>
          </w:p>
        </w:tc>
        <w:tc>
          <w:tcPr>
            <w:tcW w:w="1260" w:type="dxa"/>
          </w:tcPr>
          <w:p w:rsidR="000E4E55" w:rsidRPr="00C742BE" w:rsidRDefault="000E4E55" w:rsidP="003033F0">
            <w:pPr>
              <w:rPr>
                <w:rFonts w:cstheme="minorHAnsi"/>
              </w:rPr>
            </w:pPr>
          </w:p>
        </w:tc>
        <w:tc>
          <w:tcPr>
            <w:tcW w:w="1440" w:type="dxa"/>
          </w:tcPr>
          <w:p w:rsidR="000E4E55" w:rsidRPr="00C742BE" w:rsidRDefault="000E4E55" w:rsidP="003033F0">
            <w:pPr>
              <w:rPr>
                <w:rFonts w:cstheme="minorHAnsi"/>
              </w:rPr>
            </w:pPr>
          </w:p>
        </w:tc>
        <w:tc>
          <w:tcPr>
            <w:tcW w:w="1260" w:type="dxa"/>
          </w:tcPr>
          <w:p w:rsidR="000E4E55" w:rsidRPr="00C742BE" w:rsidRDefault="000E4E55" w:rsidP="003033F0">
            <w:pPr>
              <w:rPr>
                <w:rFonts w:cstheme="minorHAnsi"/>
              </w:rPr>
            </w:pPr>
          </w:p>
        </w:tc>
      </w:tr>
      <w:tr w:rsidR="000E4E55" w:rsidRPr="00024E92" w:rsidTr="00BC6F4D">
        <w:trPr>
          <w:trHeight w:val="611"/>
        </w:trPr>
        <w:tc>
          <w:tcPr>
            <w:tcW w:w="8100" w:type="dxa"/>
          </w:tcPr>
          <w:p w:rsidR="000E4E55" w:rsidRPr="00F96181" w:rsidRDefault="000E4E55" w:rsidP="00F96181">
            <w:pPr>
              <w:pStyle w:val="ListParagraph"/>
              <w:numPr>
                <w:ilvl w:val="0"/>
                <w:numId w:val="2"/>
              </w:numPr>
              <w:rPr>
                <w:rFonts w:cstheme="minorHAnsi"/>
                <w:bCs/>
                <w:sz w:val="20"/>
                <w:szCs w:val="20"/>
              </w:rPr>
            </w:pPr>
            <w:r w:rsidRPr="00F96181">
              <w:rPr>
                <w:rFonts w:cstheme="minorHAnsi"/>
                <w:bCs/>
                <w:sz w:val="20"/>
                <w:szCs w:val="20"/>
              </w:rPr>
              <w:t xml:space="preserve">Created/Selected </w:t>
            </w:r>
            <w:r>
              <w:rPr>
                <w:rFonts w:cstheme="minorHAnsi"/>
                <w:bCs/>
                <w:sz w:val="20"/>
                <w:szCs w:val="20"/>
              </w:rPr>
              <w:t xml:space="preserve">LDC </w:t>
            </w:r>
            <w:r w:rsidRPr="00F96181">
              <w:rPr>
                <w:rFonts w:cstheme="minorHAnsi"/>
                <w:bCs/>
                <w:sz w:val="20"/>
                <w:szCs w:val="20"/>
              </w:rPr>
              <w:t xml:space="preserve">modules and/or mini-tasks are aligned to </w:t>
            </w:r>
            <w:r>
              <w:rPr>
                <w:rFonts w:cstheme="minorHAnsi"/>
                <w:bCs/>
                <w:sz w:val="20"/>
                <w:szCs w:val="20"/>
              </w:rPr>
              <w:t>K</w:t>
            </w:r>
            <w:r w:rsidRPr="00F96181">
              <w:rPr>
                <w:rFonts w:cstheme="minorHAnsi"/>
                <w:bCs/>
                <w:sz w:val="20"/>
                <w:szCs w:val="20"/>
              </w:rPr>
              <w:t>AS and thoughtfully embedded within curriculum maps/units.</w:t>
            </w:r>
          </w:p>
        </w:tc>
        <w:tc>
          <w:tcPr>
            <w:tcW w:w="1080" w:type="dxa"/>
          </w:tcPr>
          <w:p w:rsidR="000E4E55" w:rsidRPr="00024E92" w:rsidRDefault="000E4E55" w:rsidP="00B46326">
            <w:pPr>
              <w:rPr>
                <w:rFonts w:cstheme="minorHAnsi"/>
                <w:bCs/>
              </w:rPr>
            </w:pPr>
          </w:p>
        </w:tc>
        <w:tc>
          <w:tcPr>
            <w:tcW w:w="1260" w:type="dxa"/>
          </w:tcPr>
          <w:p w:rsidR="000E4E55" w:rsidRPr="00024E92" w:rsidRDefault="000E4E55" w:rsidP="00B46326">
            <w:pPr>
              <w:rPr>
                <w:rFonts w:cstheme="minorHAnsi"/>
                <w:bCs/>
              </w:rPr>
            </w:pPr>
          </w:p>
        </w:tc>
        <w:tc>
          <w:tcPr>
            <w:tcW w:w="1440" w:type="dxa"/>
          </w:tcPr>
          <w:p w:rsidR="000E4E55" w:rsidRPr="00024E92" w:rsidRDefault="000E4E55" w:rsidP="00B46326">
            <w:pPr>
              <w:rPr>
                <w:rFonts w:cstheme="minorHAnsi"/>
                <w:bCs/>
              </w:rPr>
            </w:pPr>
          </w:p>
        </w:tc>
        <w:tc>
          <w:tcPr>
            <w:tcW w:w="1260" w:type="dxa"/>
          </w:tcPr>
          <w:p w:rsidR="000E4E55" w:rsidRPr="00024E92" w:rsidRDefault="000E4E55" w:rsidP="00B46326">
            <w:pPr>
              <w:rPr>
                <w:rFonts w:cstheme="minorHAnsi"/>
                <w:bCs/>
              </w:rPr>
            </w:pPr>
          </w:p>
        </w:tc>
      </w:tr>
      <w:tr w:rsidR="000E4E55" w:rsidRPr="00024E92" w:rsidTr="00BC6F4D">
        <w:trPr>
          <w:trHeight w:val="809"/>
        </w:trPr>
        <w:tc>
          <w:tcPr>
            <w:tcW w:w="8100" w:type="dxa"/>
            <w:tcBorders>
              <w:bottom w:val="single" w:sz="4" w:space="0" w:color="auto"/>
            </w:tcBorders>
          </w:tcPr>
          <w:p w:rsidR="000E4E55" w:rsidRPr="00F96181" w:rsidRDefault="000E4E55" w:rsidP="002036E2">
            <w:pPr>
              <w:pStyle w:val="ListParagraph"/>
              <w:numPr>
                <w:ilvl w:val="0"/>
                <w:numId w:val="2"/>
              </w:numPr>
              <w:rPr>
                <w:rFonts w:cstheme="minorHAnsi"/>
                <w:sz w:val="20"/>
                <w:szCs w:val="20"/>
              </w:rPr>
            </w:pPr>
            <w:r w:rsidRPr="00F96181">
              <w:rPr>
                <w:rFonts w:cstheme="minorHAnsi"/>
                <w:sz w:val="20"/>
                <w:szCs w:val="20"/>
              </w:rPr>
              <w:t>Educator</w:t>
            </w:r>
            <w:r>
              <w:rPr>
                <w:rFonts w:cstheme="minorHAnsi"/>
                <w:sz w:val="20"/>
                <w:szCs w:val="20"/>
              </w:rPr>
              <w:t>s from the IT</w:t>
            </w:r>
            <w:r w:rsidRPr="00F96181">
              <w:rPr>
                <w:rFonts w:cstheme="minorHAnsi"/>
                <w:sz w:val="20"/>
                <w:szCs w:val="20"/>
              </w:rPr>
              <w:t xml:space="preserve"> work,</w:t>
            </w:r>
            <w:r>
              <w:rPr>
                <w:rFonts w:cstheme="minorHAnsi"/>
                <w:sz w:val="20"/>
                <w:szCs w:val="20"/>
              </w:rPr>
              <w:t xml:space="preserve"> the Leadership Networks, </w:t>
            </w:r>
            <w:r w:rsidRPr="00F96181">
              <w:rPr>
                <w:rFonts w:cstheme="minorHAnsi"/>
                <w:sz w:val="20"/>
                <w:szCs w:val="20"/>
              </w:rPr>
              <w:t>and</w:t>
            </w:r>
            <w:r>
              <w:rPr>
                <w:rFonts w:cstheme="minorHAnsi"/>
                <w:sz w:val="20"/>
                <w:szCs w:val="20"/>
              </w:rPr>
              <w:t>/or</w:t>
            </w:r>
            <w:r w:rsidRPr="00F96181">
              <w:rPr>
                <w:rFonts w:cstheme="minorHAnsi"/>
                <w:sz w:val="20"/>
                <w:szCs w:val="20"/>
              </w:rPr>
              <w:t xml:space="preserve"> other related </w:t>
            </w:r>
            <w:r>
              <w:rPr>
                <w:rFonts w:cstheme="minorHAnsi"/>
                <w:sz w:val="20"/>
                <w:szCs w:val="20"/>
              </w:rPr>
              <w:t xml:space="preserve">school, district and state </w:t>
            </w:r>
            <w:r w:rsidRPr="00F96181">
              <w:rPr>
                <w:rFonts w:cstheme="minorHAnsi"/>
                <w:sz w:val="20"/>
                <w:szCs w:val="20"/>
              </w:rPr>
              <w:t xml:space="preserve">initiatives have time to meet together to plan, reflect, observe and coach each other on </w:t>
            </w:r>
            <w:r>
              <w:rPr>
                <w:rFonts w:cstheme="minorHAnsi"/>
                <w:sz w:val="20"/>
                <w:szCs w:val="20"/>
              </w:rPr>
              <w:t>literacy instruction, including LDC</w:t>
            </w:r>
            <w:r w:rsidRPr="00F96181">
              <w:rPr>
                <w:rFonts w:cstheme="minorHAnsi"/>
                <w:sz w:val="20"/>
                <w:szCs w:val="20"/>
              </w:rPr>
              <w:t>.</w:t>
            </w:r>
          </w:p>
        </w:tc>
        <w:tc>
          <w:tcPr>
            <w:tcW w:w="108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c>
          <w:tcPr>
            <w:tcW w:w="144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r>
      <w:tr w:rsidR="000E4E55" w:rsidRPr="00024E92" w:rsidTr="00BC6F4D">
        <w:trPr>
          <w:trHeight w:val="602"/>
        </w:trPr>
        <w:tc>
          <w:tcPr>
            <w:tcW w:w="8100" w:type="dxa"/>
            <w:tcBorders>
              <w:bottom w:val="single" w:sz="4" w:space="0" w:color="auto"/>
            </w:tcBorders>
          </w:tcPr>
          <w:p w:rsidR="000E4E55" w:rsidRPr="00F96181" w:rsidRDefault="000E4E55" w:rsidP="008946A5">
            <w:pPr>
              <w:pStyle w:val="ListParagraph"/>
              <w:numPr>
                <w:ilvl w:val="0"/>
                <w:numId w:val="2"/>
              </w:numPr>
              <w:rPr>
                <w:rFonts w:cstheme="minorHAnsi"/>
                <w:bCs/>
                <w:sz w:val="20"/>
                <w:szCs w:val="20"/>
              </w:rPr>
            </w:pPr>
            <w:r w:rsidRPr="00F96181">
              <w:rPr>
                <w:rFonts w:cstheme="minorHAnsi"/>
                <w:bCs/>
                <w:sz w:val="20"/>
                <w:szCs w:val="20"/>
              </w:rPr>
              <w:t>Teachers from various content areas participate in quality professional learning focused</w:t>
            </w:r>
            <w:r>
              <w:rPr>
                <w:rFonts w:cstheme="minorHAnsi"/>
                <w:bCs/>
                <w:sz w:val="20"/>
                <w:szCs w:val="20"/>
              </w:rPr>
              <w:t xml:space="preserve"> on </w:t>
            </w:r>
            <w:r w:rsidRPr="00F96181">
              <w:rPr>
                <w:rFonts w:cstheme="minorHAnsi"/>
                <w:bCs/>
                <w:sz w:val="20"/>
                <w:szCs w:val="20"/>
              </w:rPr>
              <w:t>LDC and aligned with the Framework for Teaching.</w:t>
            </w:r>
          </w:p>
        </w:tc>
        <w:tc>
          <w:tcPr>
            <w:tcW w:w="108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c>
          <w:tcPr>
            <w:tcW w:w="144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r>
      <w:tr w:rsidR="000E4E55" w:rsidRPr="00024E92" w:rsidTr="00BC6F4D">
        <w:trPr>
          <w:trHeight w:val="548"/>
        </w:trPr>
        <w:tc>
          <w:tcPr>
            <w:tcW w:w="8100" w:type="dxa"/>
            <w:tcBorders>
              <w:bottom w:val="single" w:sz="4" w:space="0" w:color="auto"/>
            </w:tcBorders>
          </w:tcPr>
          <w:p w:rsidR="000E4E55" w:rsidRPr="00F96181" w:rsidRDefault="000E4E55" w:rsidP="008946A5">
            <w:pPr>
              <w:pStyle w:val="ListParagraph"/>
              <w:numPr>
                <w:ilvl w:val="0"/>
                <w:numId w:val="2"/>
              </w:numPr>
              <w:rPr>
                <w:rFonts w:cstheme="minorHAnsi"/>
                <w:bCs/>
                <w:sz w:val="20"/>
                <w:szCs w:val="20"/>
              </w:rPr>
            </w:pPr>
            <w:r w:rsidRPr="00F96181">
              <w:rPr>
                <w:rFonts w:cstheme="minorHAnsi"/>
                <w:bCs/>
                <w:sz w:val="20"/>
                <w:szCs w:val="20"/>
              </w:rPr>
              <w:t xml:space="preserve">District Leadership Team collaborates with </w:t>
            </w:r>
            <w:r>
              <w:rPr>
                <w:rFonts w:cstheme="minorHAnsi"/>
                <w:bCs/>
                <w:sz w:val="20"/>
                <w:szCs w:val="20"/>
              </w:rPr>
              <w:t xml:space="preserve">KDE </w:t>
            </w:r>
            <w:r w:rsidRPr="00F96181">
              <w:rPr>
                <w:rFonts w:cstheme="minorHAnsi"/>
                <w:bCs/>
                <w:sz w:val="20"/>
                <w:szCs w:val="20"/>
              </w:rPr>
              <w:t xml:space="preserve">Effectiveness Coach to create, monitor, enact and refine the </w:t>
            </w:r>
            <w:r>
              <w:rPr>
                <w:rFonts w:cstheme="minorHAnsi"/>
                <w:bCs/>
                <w:sz w:val="20"/>
                <w:szCs w:val="20"/>
              </w:rPr>
              <w:t>LDC</w:t>
            </w:r>
            <w:r w:rsidRPr="00F96181">
              <w:rPr>
                <w:rFonts w:cstheme="minorHAnsi"/>
                <w:bCs/>
                <w:sz w:val="20"/>
                <w:szCs w:val="20"/>
              </w:rPr>
              <w:t xml:space="preserve"> implementation plan.</w:t>
            </w:r>
          </w:p>
        </w:tc>
        <w:tc>
          <w:tcPr>
            <w:tcW w:w="108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c>
          <w:tcPr>
            <w:tcW w:w="144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r>
      <w:tr w:rsidR="000E4E55" w:rsidRPr="00024E92" w:rsidTr="00BC6F4D">
        <w:trPr>
          <w:trHeight w:val="521"/>
        </w:trPr>
        <w:tc>
          <w:tcPr>
            <w:tcW w:w="8100" w:type="dxa"/>
            <w:tcBorders>
              <w:bottom w:val="single" w:sz="4" w:space="0" w:color="auto"/>
            </w:tcBorders>
          </w:tcPr>
          <w:p w:rsidR="000E4E55" w:rsidRPr="00F96181" w:rsidRDefault="000E4E55" w:rsidP="002036E2">
            <w:pPr>
              <w:pStyle w:val="ListParagraph"/>
              <w:numPr>
                <w:ilvl w:val="0"/>
                <w:numId w:val="2"/>
              </w:numPr>
              <w:rPr>
                <w:rFonts w:cstheme="minorHAnsi"/>
                <w:bCs/>
                <w:sz w:val="20"/>
                <w:szCs w:val="20"/>
              </w:rPr>
            </w:pPr>
            <w:r w:rsidRPr="00F96181">
              <w:rPr>
                <w:rFonts w:cstheme="minorHAnsi"/>
                <w:bCs/>
                <w:sz w:val="20"/>
                <w:szCs w:val="20"/>
              </w:rPr>
              <w:t>Evidence (such as juried modules, teacher feedback, units of study</w:t>
            </w:r>
            <w:r>
              <w:rPr>
                <w:rFonts w:cstheme="minorHAnsi"/>
                <w:bCs/>
                <w:sz w:val="20"/>
                <w:szCs w:val="20"/>
              </w:rPr>
              <w:t>, student work and student growth</w:t>
            </w:r>
            <w:r w:rsidRPr="00F96181">
              <w:rPr>
                <w:rFonts w:cstheme="minorHAnsi"/>
                <w:bCs/>
                <w:sz w:val="20"/>
                <w:szCs w:val="20"/>
              </w:rPr>
              <w:t>) exists that LDC is being implemented with quality</w:t>
            </w:r>
            <w:r>
              <w:rPr>
                <w:rFonts w:cstheme="minorHAnsi"/>
                <w:bCs/>
                <w:sz w:val="20"/>
                <w:szCs w:val="20"/>
              </w:rPr>
              <w:t xml:space="preserve"> </w:t>
            </w:r>
            <w:r w:rsidRPr="008E4EF5">
              <w:rPr>
                <w:rFonts w:cstheme="minorHAnsi"/>
                <w:bCs/>
                <w:sz w:val="20"/>
                <w:szCs w:val="20"/>
              </w:rPr>
              <w:t>(robust, with fidelity)</w:t>
            </w:r>
            <w:r w:rsidRPr="00F96181">
              <w:rPr>
                <w:rFonts w:cstheme="minorHAnsi"/>
                <w:bCs/>
                <w:sz w:val="20"/>
                <w:szCs w:val="20"/>
              </w:rPr>
              <w:t>.</w:t>
            </w:r>
          </w:p>
        </w:tc>
        <w:tc>
          <w:tcPr>
            <w:tcW w:w="108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c>
          <w:tcPr>
            <w:tcW w:w="144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r>
      <w:tr w:rsidR="000E4E55" w:rsidRPr="00024E92" w:rsidTr="00BC6F4D">
        <w:trPr>
          <w:trHeight w:val="629"/>
        </w:trPr>
        <w:tc>
          <w:tcPr>
            <w:tcW w:w="8100" w:type="dxa"/>
            <w:tcBorders>
              <w:bottom w:val="single" w:sz="4" w:space="0" w:color="auto"/>
            </w:tcBorders>
          </w:tcPr>
          <w:p w:rsidR="000E4E55" w:rsidRPr="00F96181" w:rsidRDefault="000E4E55" w:rsidP="00F96181">
            <w:pPr>
              <w:pStyle w:val="ListParagraph"/>
              <w:numPr>
                <w:ilvl w:val="0"/>
                <w:numId w:val="2"/>
              </w:numPr>
              <w:rPr>
                <w:rFonts w:cstheme="minorHAnsi"/>
                <w:bCs/>
                <w:sz w:val="20"/>
                <w:szCs w:val="20"/>
              </w:rPr>
            </w:pPr>
            <w:r w:rsidRPr="00F96181">
              <w:rPr>
                <w:rFonts w:cstheme="minorHAnsi"/>
                <w:bCs/>
                <w:sz w:val="20"/>
                <w:szCs w:val="20"/>
              </w:rPr>
              <w:t xml:space="preserve">Teacher leaders support professional learning communities to implement and scale </w:t>
            </w:r>
            <w:r>
              <w:rPr>
                <w:rFonts w:cstheme="minorHAnsi"/>
                <w:bCs/>
                <w:sz w:val="20"/>
                <w:szCs w:val="20"/>
              </w:rPr>
              <w:t xml:space="preserve">literacy instruction, including </w:t>
            </w:r>
            <w:r w:rsidRPr="00F96181">
              <w:rPr>
                <w:rFonts w:cstheme="minorHAnsi"/>
                <w:bCs/>
                <w:sz w:val="20"/>
                <w:szCs w:val="20"/>
              </w:rPr>
              <w:t>LDC.</w:t>
            </w:r>
          </w:p>
        </w:tc>
        <w:tc>
          <w:tcPr>
            <w:tcW w:w="108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c>
          <w:tcPr>
            <w:tcW w:w="144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r>
      <w:tr w:rsidR="000E4E55" w:rsidRPr="00024E92" w:rsidTr="00BC6F4D">
        <w:trPr>
          <w:trHeight w:val="620"/>
        </w:trPr>
        <w:tc>
          <w:tcPr>
            <w:tcW w:w="8100" w:type="dxa"/>
            <w:tcBorders>
              <w:bottom w:val="single" w:sz="4" w:space="0" w:color="auto"/>
            </w:tcBorders>
          </w:tcPr>
          <w:p w:rsidR="000E4E55" w:rsidRPr="00CA157B" w:rsidRDefault="000E4E55" w:rsidP="005D4D6C">
            <w:pPr>
              <w:pStyle w:val="ListParagraph"/>
              <w:numPr>
                <w:ilvl w:val="0"/>
                <w:numId w:val="2"/>
              </w:numPr>
              <w:rPr>
                <w:rFonts w:cstheme="minorHAnsi"/>
                <w:bCs/>
                <w:sz w:val="20"/>
                <w:szCs w:val="20"/>
              </w:rPr>
            </w:pPr>
            <w:r w:rsidRPr="00F96181">
              <w:rPr>
                <w:rFonts w:cstheme="minorHAnsi"/>
                <w:bCs/>
                <w:sz w:val="20"/>
                <w:szCs w:val="20"/>
              </w:rPr>
              <w:t>Improved teacher practice in</w:t>
            </w:r>
            <w:r>
              <w:rPr>
                <w:rFonts w:cstheme="minorHAnsi"/>
                <w:bCs/>
                <w:sz w:val="20"/>
                <w:szCs w:val="20"/>
              </w:rPr>
              <w:t xml:space="preserve"> routine</w:t>
            </w:r>
            <w:r w:rsidRPr="00F96181">
              <w:rPr>
                <w:rFonts w:cstheme="minorHAnsi"/>
                <w:bCs/>
                <w:sz w:val="20"/>
                <w:szCs w:val="20"/>
              </w:rPr>
              <w:t xml:space="preserve"> literacy instruction extends beyond implementation of the LDC module.</w:t>
            </w:r>
          </w:p>
        </w:tc>
        <w:tc>
          <w:tcPr>
            <w:tcW w:w="108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c>
          <w:tcPr>
            <w:tcW w:w="1440" w:type="dxa"/>
            <w:tcBorders>
              <w:bottom w:val="single" w:sz="4" w:space="0" w:color="auto"/>
            </w:tcBorders>
          </w:tcPr>
          <w:p w:rsidR="000E4E55" w:rsidRPr="00024E92" w:rsidRDefault="000E4E55" w:rsidP="00B46326">
            <w:pPr>
              <w:rPr>
                <w:rFonts w:cstheme="minorHAnsi"/>
              </w:rPr>
            </w:pPr>
          </w:p>
        </w:tc>
        <w:tc>
          <w:tcPr>
            <w:tcW w:w="1260" w:type="dxa"/>
            <w:tcBorders>
              <w:bottom w:val="single" w:sz="4" w:space="0" w:color="auto"/>
            </w:tcBorders>
          </w:tcPr>
          <w:p w:rsidR="000E4E55" w:rsidRPr="00024E92" w:rsidRDefault="000E4E55" w:rsidP="00B46326">
            <w:pPr>
              <w:rPr>
                <w:rFonts w:cstheme="minorHAnsi"/>
              </w:rPr>
            </w:pPr>
          </w:p>
        </w:tc>
      </w:tr>
      <w:tr w:rsidR="00382F15" w:rsidRPr="00024E92" w:rsidTr="00BC6F4D">
        <w:trPr>
          <w:trHeight w:val="620"/>
        </w:trPr>
        <w:tc>
          <w:tcPr>
            <w:tcW w:w="8100" w:type="dxa"/>
            <w:tcBorders>
              <w:bottom w:val="single" w:sz="4" w:space="0" w:color="auto"/>
              <w:right w:val="single" w:sz="4" w:space="0" w:color="DDD9C3" w:themeColor="background2" w:themeShade="E6"/>
            </w:tcBorders>
            <w:shd w:val="clear" w:color="auto" w:fill="DDD9C3" w:themeFill="background2" w:themeFillShade="E6"/>
          </w:tcPr>
          <w:p w:rsidR="00382F15" w:rsidRDefault="00382F15" w:rsidP="00382F15">
            <w:pPr>
              <w:rPr>
                <w:b/>
              </w:rPr>
            </w:pPr>
            <w:r w:rsidRPr="00382F15">
              <w:rPr>
                <w:b/>
              </w:rPr>
              <w:t>Comments/Next Steps:</w:t>
            </w:r>
          </w:p>
          <w:p w:rsidR="00BC6F4D" w:rsidRDefault="00BC6F4D" w:rsidP="00382F15">
            <w:pPr>
              <w:rPr>
                <w:rFonts w:cstheme="minorHAnsi"/>
                <w:bCs/>
                <w:sz w:val="144"/>
                <w:szCs w:val="144"/>
              </w:rPr>
            </w:pPr>
          </w:p>
          <w:p w:rsidR="001B362E" w:rsidRPr="001B362E" w:rsidRDefault="001B362E" w:rsidP="00382F15">
            <w:pPr>
              <w:rPr>
                <w:rFonts w:cstheme="minorHAnsi"/>
                <w:bCs/>
                <w:sz w:val="56"/>
                <w:szCs w:val="56"/>
              </w:rPr>
            </w:pPr>
          </w:p>
        </w:tc>
        <w:tc>
          <w:tcPr>
            <w:tcW w:w="1080" w:type="dxa"/>
            <w:tcBorders>
              <w:left w:val="single" w:sz="4" w:space="0" w:color="DDD9C3" w:themeColor="background2" w:themeShade="E6"/>
              <w:bottom w:val="single" w:sz="4" w:space="0" w:color="auto"/>
              <w:right w:val="single" w:sz="4" w:space="0" w:color="DDD9C3" w:themeColor="background2" w:themeShade="E6"/>
            </w:tcBorders>
            <w:shd w:val="clear" w:color="auto" w:fill="DDD9C3" w:themeFill="background2" w:themeFillShade="E6"/>
          </w:tcPr>
          <w:p w:rsidR="00382F15" w:rsidRPr="00024E92" w:rsidRDefault="00382F15" w:rsidP="00B46326">
            <w:pPr>
              <w:rPr>
                <w:rFonts w:cstheme="minorHAnsi"/>
              </w:rPr>
            </w:pPr>
          </w:p>
        </w:tc>
        <w:tc>
          <w:tcPr>
            <w:tcW w:w="1260" w:type="dxa"/>
            <w:tcBorders>
              <w:left w:val="single" w:sz="4" w:space="0" w:color="DDD9C3" w:themeColor="background2" w:themeShade="E6"/>
              <w:bottom w:val="single" w:sz="4" w:space="0" w:color="auto"/>
              <w:right w:val="single" w:sz="4" w:space="0" w:color="DDD9C3" w:themeColor="background2" w:themeShade="E6"/>
            </w:tcBorders>
            <w:shd w:val="clear" w:color="auto" w:fill="DDD9C3" w:themeFill="background2" w:themeFillShade="E6"/>
          </w:tcPr>
          <w:p w:rsidR="00382F15" w:rsidRPr="00024E92" w:rsidRDefault="00382F15" w:rsidP="00B46326">
            <w:pPr>
              <w:rPr>
                <w:rFonts w:cstheme="minorHAnsi"/>
              </w:rPr>
            </w:pPr>
          </w:p>
        </w:tc>
        <w:tc>
          <w:tcPr>
            <w:tcW w:w="1440" w:type="dxa"/>
            <w:tcBorders>
              <w:left w:val="single" w:sz="4" w:space="0" w:color="DDD9C3" w:themeColor="background2" w:themeShade="E6"/>
              <w:bottom w:val="single" w:sz="4" w:space="0" w:color="auto"/>
              <w:right w:val="single" w:sz="4" w:space="0" w:color="DDD9C3" w:themeColor="background2" w:themeShade="E6"/>
            </w:tcBorders>
            <w:shd w:val="clear" w:color="auto" w:fill="DDD9C3" w:themeFill="background2" w:themeFillShade="E6"/>
          </w:tcPr>
          <w:p w:rsidR="00382F15" w:rsidRPr="00024E92" w:rsidRDefault="00382F15" w:rsidP="00B46326">
            <w:pPr>
              <w:rPr>
                <w:rFonts w:cstheme="minorHAnsi"/>
              </w:rPr>
            </w:pPr>
          </w:p>
        </w:tc>
        <w:tc>
          <w:tcPr>
            <w:tcW w:w="1260" w:type="dxa"/>
            <w:tcBorders>
              <w:left w:val="single" w:sz="4" w:space="0" w:color="DDD9C3" w:themeColor="background2" w:themeShade="E6"/>
              <w:bottom w:val="single" w:sz="4" w:space="0" w:color="auto"/>
            </w:tcBorders>
            <w:shd w:val="clear" w:color="auto" w:fill="DDD9C3" w:themeFill="background2" w:themeFillShade="E6"/>
          </w:tcPr>
          <w:p w:rsidR="00382F15" w:rsidRPr="00024E92" w:rsidRDefault="00382F15" w:rsidP="00B46326">
            <w:pPr>
              <w:rPr>
                <w:rFonts w:cstheme="minorHAnsi"/>
              </w:rPr>
            </w:pPr>
          </w:p>
        </w:tc>
      </w:tr>
      <w:tr w:rsidR="000E4E55" w:rsidRPr="00024E92" w:rsidTr="00BC6F4D">
        <w:trPr>
          <w:trHeight w:val="503"/>
        </w:trPr>
        <w:tc>
          <w:tcPr>
            <w:tcW w:w="8100" w:type="dxa"/>
            <w:shd w:val="clear" w:color="auto" w:fill="E5DFEC" w:themeFill="accent4" w:themeFillTint="33"/>
          </w:tcPr>
          <w:p w:rsidR="001B362E" w:rsidRPr="00DB587B" w:rsidRDefault="000E4E55" w:rsidP="001B362E">
            <w:pPr>
              <w:rPr>
                <w:rFonts w:cstheme="minorHAnsi"/>
                <w:b/>
                <w:bCs/>
                <w:color w:val="FFFFFF" w:themeColor="background1"/>
              </w:rPr>
            </w:pPr>
            <w:r w:rsidRPr="00382F15">
              <w:rPr>
                <w:rFonts w:cstheme="minorHAnsi"/>
                <w:b/>
                <w:bCs/>
                <w:sz w:val="28"/>
              </w:rPr>
              <w:lastRenderedPageBreak/>
              <w:t>3: KAS Implementation through MDC</w:t>
            </w:r>
          </w:p>
          <w:p w:rsidR="000E4E55" w:rsidRPr="00DB587B" w:rsidRDefault="000E4E55" w:rsidP="00880638">
            <w:pPr>
              <w:rPr>
                <w:rFonts w:cstheme="minorHAnsi"/>
                <w:b/>
                <w:bCs/>
                <w:color w:val="FFFFFF" w:themeColor="background1"/>
              </w:rPr>
            </w:pPr>
          </w:p>
        </w:tc>
        <w:tc>
          <w:tcPr>
            <w:tcW w:w="108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Beginning</w:t>
            </w:r>
          </w:p>
        </w:tc>
        <w:tc>
          <w:tcPr>
            <w:tcW w:w="126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Progressing</w:t>
            </w:r>
          </w:p>
        </w:tc>
        <w:tc>
          <w:tcPr>
            <w:tcW w:w="1440" w:type="dxa"/>
            <w:shd w:val="clear" w:color="auto" w:fill="808080" w:themeFill="background1" w:themeFillShade="80"/>
            <w:vAlign w:val="center"/>
          </w:tcPr>
          <w:p w:rsidR="000E4E55" w:rsidRPr="008E4EF5" w:rsidRDefault="000E4E55" w:rsidP="00382F15">
            <w:pPr>
              <w:jc w:val="center"/>
              <w:rPr>
                <w:rFonts w:cstheme="minorHAnsi"/>
                <w:b/>
                <w:bCs/>
                <w:color w:val="FFFFFF" w:themeColor="background1"/>
                <w:sz w:val="20"/>
                <w:szCs w:val="20"/>
              </w:rPr>
            </w:pPr>
            <w:r w:rsidRPr="008E4EF5">
              <w:rPr>
                <w:rFonts w:cstheme="minorHAnsi"/>
                <w:b/>
                <w:bCs/>
                <w:color w:val="FFFFFF" w:themeColor="background1"/>
                <w:sz w:val="20"/>
                <w:szCs w:val="20"/>
              </w:rPr>
              <w:t>Implementing/Refining</w:t>
            </w:r>
          </w:p>
        </w:tc>
        <w:tc>
          <w:tcPr>
            <w:tcW w:w="1260" w:type="dxa"/>
            <w:shd w:val="clear" w:color="auto" w:fill="808080" w:themeFill="background1" w:themeFillShade="80"/>
            <w:vAlign w:val="center"/>
          </w:tcPr>
          <w:p w:rsidR="000E4E55" w:rsidRPr="008E4EF5" w:rsidRDefault="000E4E55" w:rsidP="00382F15">
            <w:pPr>
              <w:jc w:val="center"/>
              <w:rPr>
                <w:rFonts w:cstheme="minorHAnsi"/>
                <w:b/>
                <w:bCs/>
                <w:color w:val="FFFFFF" w:themeColor="background1"/>
                <w:sz w:val="20"/>
                <w:szCs w:val="20"/>
              </w:rPr>
            </w:pPr>
            <w:r w:rsidRPr="008E4EF5">
              <w:rPr>
                <w:rFonts w:cstheme="minorHAnsi"/>
                <w:b/>
                <w:bCs/>
                <w:color w:val="FFFFFF" w:themeColor="background1"/>
                <w:sz w:val="20"/>
                <w:szCs w:val="20"/>
              </w:rPr>
              <w:t>Sustaining/Refining</w:t>
            </w:r>
          </w:p>
        </w:tc>
      </w:tr>
      <w:tr w:rsidR="000E4E55" w:rsidRPr="00024E92" w:rsidTr="00BC6F4D">
        <w:trPr>
          <w:trHeight w:val="368"/>
        </w:trPr>
        <w:tc>
          <w:tcPr>
            <w:tcW w:w="8100" w:type="dxa"/>
          </w:tcPr>
          <w:p w:rsidR="000E4E55" w:rsidRPr="00F96181" w:rsidRDefault="000E4E55" w:rsidP="006E243D">
            <w:pPr>
              <w:pStyle w:val="ListParagraph"/>
              <w:numPr>
                <w:ilvl w:val="0"/>
                <w:numId w:val="3"/>
              </w:numPr>
              <w:rPr>
                <w:rFonts w:cstheme="minorHAnsi"/>
                <w:bCs/>
                <w:sz w:val="20"/>
                <w:szCs w:val="20"/>
              </w:rPr>
            </w:pPr>
            <w:r w:rsidRPr="00F96181">
              <w:rPr>
                <w:rFonts w:cstheme="minorHAnsi"/>
                <w:bCs/>
                <w:sz w:val="20"/>
                <w:szCs w:val="20"/>
              </w:rPr>
              <w:t xml:space="preserve">Educators participate in MDC professional learning and implement MDC in the classroom. </w:t>
            </w:r>
          </w:p>
        </w:tc>
        <w:tc>
          <w:tcPr>
            <w:tcW w:w="1080" w:type="dxa"/>
          </w:tcPr>
          <w:p w:rsidR="000E4E55" w:rsidRPr="00024E92" w:rsidRDefault="000E4E55" w:rsidP="00B46326">
            <w:pPr>
              <w:rPr>
                <w:rFonts w:cstheme="minorHAnsi"/>
                <w:bCs/>
              </w:rPr>
            </w:pPr>
          </w:p>
        </w:tc>
        <w:tc>
          <w:tcPr>
            <w:tcW w:w="1260" w:type="dxa"/>
          </w:tcPr>
          <w:p w:rsidR="000E4E55" w:rsidRPr="00024E92" w:rsidRDefault="000E4E55" w:rsidP="00B46326">
            <w:pPr>
              <w:rPr>
                <w:rFonts w:cstheme="minorHAnsi"/>
                <w:bCs/>
              </w:rPr>
            </w:pPr>
          </w:p>
        </w:tc>
        <w:tc>
          <w:tcPr>
            <w:tcW w:w="1440" w:type="dxa"/>
          </w:tcPr>
          <w:p w:rsidR="000E4E55" w:rsidRPr="00024E92" w:rsidRDefault="000E4E55" w:rsidP="00B46326">
            <w:pPr>
              <w:rPr>
                <w:rFonts w:cstheme="minorHAnsi"/>
                <w:bCs/>
              </w:rPr>
            </w:pPr>
          </w:p>
        </w:tc>
        <w:tc>
          <w:tcPr>
            <w:tcW w:w="1260" w:type="dxa"/>
          </w:tcPr>
          <w:p w:rsidR="000E4E55" w:rsidRPr="00024E92" w:rsidRDefault="000E4E55" w:rsidP="00B46326">
            <w:pPr>
              <w:rPr>
                <w:rFonts w:cstheme="minorHAnsi"/>
                <w:bCs/>
              </w:rPr>
            </w:pPr>
          </w:p>
        </w:tc>
      </w:tr>
      <w:tr w:rsidR="000E4E55" w:rsidRPr="00024E92" w:rsidTr="00BC6F4D">
        <w:trPr>
          <w:trHeight w:val="620"/>
        </w:trPr>
        <w:tc>
          <w:tcPr>
            <w:tcW w:w="8100" w:type="dxa"/>
          </w:tcPr>
          <w:p w:rsidR="000E4E55" w:rsidRPr="00F96181" w:rsidRDefault="000E4E55" w:rsidP="00F96181">
            <w:pPr>
              <w:pStyle w:val="ListParagraph"/>
              <w:numPr>
                <w:ilvl w:val="0"/>
                <w:numId w:val="3"/>
              </w:numPr>
              <w:rPr>
                <w:rFonts w:cstheme="minorHAnsi"/>
                <w:bCs/>
                <w:sz w:val="20"/>
                <w:szCs w:val="20"/>
              </w:rPr>
            </w:pPr>
            <w:r w:rsidRPr="00F96181">
              <w:rPr>
                <w:rFonts w:cstheme="minorHAnsi"/>
                <w:sz w:val="20"/>
                <w:szCs w:val="20"/>
              </w:rPr>
              <w:t xml:space="preserve">Educators use student work and data to inform instructional practice, </w:t>
            </w:r>
            <w:r w:rsidRPr="00F96181">
              <w:rPr>
                <w:sz w:val="20"/>
                <w:szCs w:val="20"/>
              </w:rPr>
              <w:t>professional growth needs, and desired student learning.</w:t>
            </w:r>
            <w:r w:rsidRPr="00F96181">
              <w:rPr>
                <w:rFonts w:cstheme="minorHAnsi"/>
                <w:bCs/>
                <w:sz w:val="20"/>
                <w:szCs w:val="20"/>
              </w:rPr>
              <w:t xml:space="preserve"> </w:t>
            </w:r>
          </w:p>
        </w:tc>
        <w:tc>
          <w:tcPr>
            <w:tcW w:w="108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c>
          <w:tcPr>
            <w:tcW w:w="144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r>
      <w:tr w:rsidR="000E4E55" w:rsidRPr="00024E92" w:rsidTr="00BC6F4D">
        <w:trPr>
          <w:trHeight w:val="620"/>
        </w:trPr>
        <w:tc>
          <w:tcPr>
            <w:tcW w:w="8100" w:type="dxa"/>
          </w:tcPr>
          <w:p w:rsidR="000E4E55" w:rsidRPr="00F96181" w:rsidRDefault="000E4E55" w:rsidP="00F96181">
            <w:pPr>
              <w:pStyle w:val="ListParagraph"/>
              <w:numPr>
                <w:ilvl w:val="0"/>
                <w:numId w:val="3"/>
              </w:numPr>
              <w:rPr>
                <w:rFonts w:cstheme="minorHAnsi"/>
                <w:bCs/>
                <w:sz w:val="20"/>
                <w:szCs w:val="20"/>
              </w:rPr>
            </w:pPr>
            <w:r w:rsidRPr="00F96181">
              <w:rPr>
                <w:rFonts w:cstheme="minorHAnsi"/>
                <w:bCs/>
                <w:sz w:val="20"/>
                <w:szCs w:val="20"/>
              </w:rPr>
              <w:t>Formative assessment lessons (FA</w:t>
            </w:r>
            <w:r>
              <w:rPr>
                <w:rFonts w:cstheme="minorHAnsi"/>
                <w:bCs/>
                <w:sz w:val="20"/>
                <w:szCs w:val="20"/>
              </w:rPr>
              <w:t xml:space="preserve">Ls) are thoughtfully selected </w:t>
            </w:r>
            <w:r w:rsidRPr="008E4EF5">
              <w:rPr>
                <w:rFonts w:cstheme="minorHAnsi"/>
                <w:bCs/>
                <w:sz w:val="20"/>
                <w:szCs w:val="20"/>
              </w:rPr>
              <w:t xml:space="preserve">and </w:t>
            </w:r>
            <w:r w:rsidRPr="00F96181">
              <w:rPr>
                <w:rFonts w:cstheme="minorHAnsi"/>
                <w:bCs/>
                <w:sz w:val="20"/>
                <w:szCs w:val="20"/>
              </w:rPr>
              <w:t>embedded within curriculum maps/</w:t>
            </w:r>
            <w:r>
              <w:rPr>
                <w:rFonts w:cstheme="minorHAnsi"/>
                <w:bCs/>
                <w:sz w:val="20"/>
                <w:szCs w:val="20"/>
              </w:rPr>
              <w:t>units and are aligned to K</w:t>
            </w:r>
            <w:r w:rsidRPr="00F96181">
              <w:rPr>
                <w:rFonts w:cstheme="minorHAnsi"/>
                <w:bCs/>
                <w:sz w:val="20"/>
                <w:szCs w:val="20"/>
              </w:rPr>
              <w:t>AS</w:t>
            </w:r>
            <w:r>
              <w:rPr>
                <w:rFonts w:cstheme="minorHAnsi"/>
                <w:bCs/>
                <w:sz w:val="20"/>
                <w:szCs w:val="20"/>
              </w:rPr>
              <w:t xml:space="preserve"> for mathematics</w:t>
            </w:r>
            <w:r w:rsidRPr="00F96181">
              <w:rPr>
                <w:rFonts w:cstheme="minorHAnsi"/>
                <w:bCs/>
                <w:sz w:val="20"/>
                <w:szCs w:val="20"/>
              </w:rPr>
              <w:t>.</w:t>
            </w:r>
          </w:p>
        </w:tc>
        <w:tc>
          <w:tcPr>
            <w:tcW w:w="1080" w:type="dxa"/>
          </w:tcPr>
          <w:p w:rsidR="000E4E55" w:rsidRDefault="000E4E55" w:rsidP="003033F0">
            <w:pPr>
              <w:rPr>
                <w:rFonts w:cstheme="minorHAnsi"/>
              </w:rPr>
            </w:pPr>
          </w:p>
        </w:tc>
        <w:tc>
          <w:tcPr>
            <w:tcW w:w="1260" w:type="dxa"/>
          </w:tcPr>
          <w:p w:rsidR="000E4E55" w:rsidRDefault="000E4E55" w:rsidP="003033F0">
            <w:pPr>
              <w:rPr>
                <w:rFonts w:cstheme="minorHAnsi"/>
              </w:rPr>
            </w:pPr>
          </w:p>
        </w:tc>
        <w:tc>
          <w:tcPr>
            <w:tcW w:w="1440" w:type="dxa"/>
          </w:tcPr>
          <w:p w:rsidR="000E4E55" w:rsidRDefault="000E4E55" w:rsidP="003033F0">
            <w:pPr>
              <w:rPr>
                <w:rFonts w:cstheme="minorHAnsi"/>
              </w:rPr>
            </w:pPr>
          </w:p>
        </w:tc>
        <w:tc>
          <w:tcPr>
            <w:tcW w:w="1260" w:type="dxa"/>
          </w:tcPr>
          <w:p w:rsidR="000E4E55" w:rsidRDefault="000E4E55" w:rsidP="003033F0">
            <w:pPr>
              <w:rPr>
                <w:rFonts w:cstheme="minorHAnsi"/>
              </w:rPr>
            </w:pPr>
          </w:p>
        </w:tc>
      </w:tr>
      <w:tr w:rsidR="000E4E55" w:rsidRPr="00024E92" w:rsidTr="00BC6F4D">
        <w:trPr>
          <w:trHeight w:val="710"/>
        </w:trPr>
        <w:tc>
          <w:tcPr>
            <w:tcW w:w="8100" w:type="dxa"/>
          </w:tcPr>
          <w:p w:rsidR="000E4E55" w:rsidRPr="00F96181" w:rsidRDefault="000E4E55" w:rsidP="008E4EF5">
            <w:pPr>
              <w:pStyle w:val="ListParagraph"/>
              <w:numPr>
                <w:ilvl w:val="0"/>
                <w:numId w:val="3"/>
              </w:numPr>
              <w:rPr>
                <w:rFonts w:cstheme="minorHAnsi"/>
                <w:sz w:val="20"/>
                <w:szCs w:val="20"/>
              </w:rPr>
            </w:pPr>
            <w:r w:rsidRPr="00F96181">
              <w:rPr>
                <w:rFonts w:cstheme="minorHAnsi"/>
                <w:sz w:val="20"/>
                <w:szCs w:val="20"/>
              </w:rPr>
              <w:t xml:space="preserve">Educators from the </w:t>
            </w:r>
            <w:r>
              <w:rPr>
                <w:rFonts w:cstheme="minorHAnsi"/>
                <w:sz w:val="20"/>
                <w:szCs w:val="20"/>
              </w:rPr>
              <w:t>IT work, the Leadership Networks</w:t>
            </w:r>
            <w:r w:rsidRPr="00F96181">
              <w:rPr>
                <w:rFonts w:cstheme="minorHAnsi"/>
                <w:sz w:val="20"/>
                <w:szCs w:val="20"/>
              </w:rPr>
              <w:t>, and</w:t>
            </w:r>
            <w:r>
              <w:rPr>
                <w:rFonts w:cstheme="minorHAnsi"/>
                <w:sz w:val="20"/>
                <w:szCs w:val="20"/>
              </w:rPr>
              <w:t>/or</w:t>
            </w:r>
            <w:r w:rsidRPr="00F96181">
              <w:rPr>
                <w:rFonts w:cstheme="minorHAnsi"/>
                <w:sz w:val="20"/>
                <w:szCs w:val="20"/>
              </w:rPr>
              <w:t xml:space="preserve"> other related </w:t>
            </w:r>
            <w:r>
              <w:rPr>
                <w:rFonts w:cstheme="minorHAnsi"/>
                <w:sz w:val="20"/>
                <w:szCs w:val="20"/>
              </w:rPr>
              <w:t xml:space="preserve">school, district and state </w:t>
            </w:r>
            <w:r w:rsidRPr="00F96181">
              <w:rPr>
                <w:rFonts w:cstheme="minorHAnsi"/>
                <w:sz w:val="20"/>
                <w:szCs w:val="20"/>
              </w:rPr>
              <w:t xml:space="preserve">initiatives have </w:t>
            </w:r>
            <w:r w:rsidRPr="008E4EF5">
              <w:rPr>
                <w:rFonts w:cstheme="minorHAnsi"/>
                <w:sz w:val="20"/>
                <w:szCs w:val="20"/>
              </w:rPr>
              <w:t>opportunities</w:t>
            </w:r>
            <w:r>
              <w:rPr>
                <w:rFonts w:cstheme="minorHAnsi"/>
                <w:color w:val="FF0000"/>
                <w:sz w:val="20"/>
                <w:szCs w:val="20"/>
              </w:rPr>
              <w:t xml:space="preserve"> </w:t>
            </w:r>
            <w:r w:rsidRPr="00F96181">
              <w:rPr>
                <w:rFonts w:cstheme="minorHAnsi"/>
                <w:sz w:val="20"/>
                <w:szCs w:val="20"/>
              </w:rPr>
              <w:t xml:space="preserve">to meet together to plan, reflect, observe and coach each other on implementation of </w:t>
            </w:r>
            <w:r>
              <w:rPr>
                <w:rFonts w:cstheme="minorHAnsi"/>
                <w:sz w:val="20"/>
                <w:szCs w:val="20"/>
              </w:rPr>
              <w:t>MDC</w:t>
            </w:r>
            <w:r w:rsidRPr="00F96181">
              <w:rPr>
                <w:rFonts w:cstheme="minorHAnsi"/>
                <w:sz w:val="20"/>
                <w:szCs w:val="20"/>
              </w:rPr>
              <w:t>.</w:t>
            </w:r>
          </w:p>
        </w:tc>
        <w:tc>
          <w:tcPr>
            <w:tcW w:w="1080" w:type="dxa"/>
          </w:tcPr>
          <w:p w:rsidR="000E4E55" w:rsidRDefault="000E4E55" w:rsidP="00B46326">
            <w:pPr>
              <w:rPr>
                <w:rFonts w:cstheme="minorHAnsi"/>
              </w:rPr>
            </w:pPr>
          </w:p>
        </w:tc>
        <w:tc>
          <w:tcPr>
            <w:tcW w:w="1260" w:type="dxa"/>
          </w:tcPr>
          <w:p w:rsidR="000E4E55" w:rsidRDefault="000E4E55" w:rsidP="00B46326">
            <w:pPr>
              <w:rPr>
                <w:rFonts w:cstheme="minorHAnsi"/>
              </w:rPr>
            </w:pPr>
          </w:p>
        </w:tc>
        <w:tc>
          <w:tcPr>
            <w:tcW w:w="1440" w:type="dxa"/>
          </w:tcPr>
          <w:p w:rsidR="000E4E55" w:rsidRDefault="000E4E55" w:rsidP="00B46326">
            <w:pPr>
              <w:rPr>
                <w:rFonts w:cstheme="minorHAnsi"/>
              </w:rPr>
            </w:pPr>
          </w:p>
        </w:tc>
        <w:tc>
          <w:tcPr>
            <w:tcW w:w="1260" w:type="dxa"/>
          </w:tcPr>
          <w:p w:rsidR="000E4E55" w:rsidRDefault="000E4E55" w:rsidP="00B46326">
            <w:pPr>
              <w:rPr>
                <w:rFonts w:cstheme="minorHAnsi"/>
              </w:rPr>
            </w:pPr>
          </w:p>
        </w:tc>
      </w:tr>
      <w:tr w:rsidR="000E4E55" w:rsidRPr="00024E92" w:rsidTr="00BC6F4D">
        <w:trPr>
          <w:trHeight w:val="602"/>
        </w:trPr>
        <w:tc>
          <w:tcPr>
            <w:tcW w:w="8100" w:type="dxa"/>
          </w:tcPr>
          <w:p w:rsidR="000E4E55" w:rsidRPr="00F96181" w:rsidRDefault="000E4E55" w:rsidP="006E243D">
            <w:pPr>
              <w:pStyle w:val="ListParagraph"/>
              <w:numPr>
                <w:ilvl w:val="0"/>
                <w:numId w:val="3"/>
              </w:numPr>
              <w:rPr>
                <w:rFonts w:cstheme="minorHAnsi"/>
                <w:bCs/>
                <w:sz w:val="20"/>
                <w:szCs w:val="20"/>
              </w:rPr>
            </w:pPr>
            <w:r w:rsidRPr="00F96181">
              <w:rPr>
                <w:rFonts w:cstheme="minorHAnsi"/>
                <w:bCs/>
                <w:sz w:val="20"/>
                <w:szCs w:val="20"/>
              </w:rPr>
              <w:t xml:space="preserve">Teachers participate in quality professional learning focused on the </w:t>
            </w:r>
            <w:r>
              <w:rPr>
                <w:rFonts w:cstheme="minorHAnsi"/>
                <w:bCs/>
                <w:sz w:val="20"/>
                <w:szCs w:val="20"/>
              </w:rPr>
              <w:t>MDC</w:t>
            </w:r>
            <w:r w:rsidRPr="00F96181">
              <w:rPr>
                <w:rFonts w:cstheme="minorHAnsi"/>
                <w:bCs/>
                <w:sz w:val="20"/>
                <w:szCs w:val="20"/>
              </w:rPr>
              <w:t xml:space="preserve"> and aligned with the Framework for Teaching.</w:t>
            </w:r>
          </w:p>
        </w:tc>
        <w:tc>
          <w:tcPr>
            <w:tcW w:w="108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c>
          <w:tcPr>
            <w:tcW w:w="144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r>
      <w:tr w:rsidR="000E4E55" w:rsidRPr="00024E92" w:rsidTr="00BC6F4D">
        <w:trPr>
          <w:trHeight w:val="530"/>
        </w:trPr>
        <w:tc>
          <w:tcPr>
            <w:tcW w:w="8100" w:type="dxa"/>
          </w:tcPr>
          <w:p w:rsidR="000E4E55" w:rsidRPr="00F96181" w:rsidRDefault="000E4E55" w:rsidP="008441F5">
            <w:pPr>
              <w:pStyle w:val="ListParagraph"/>
              <w:numPr>
                <w:ilvl w:val="0"/>
                <w:numId w:val="3"/>
              </w:numPr>
              <w:rPr>
                <w:rFonts w:cstheme="minorHAnsi"/>
                <w:bCs/>
                <w:sz w:val="20"/>
                <w:szCs w:val="20"/>
              </w:rPr>
            </w:pPr>
            <w:r w:rsidRPr="00F96181">
              <w:rPr>
                <w:rFonts w:cstheme="minorHAnsi"/>
                <w:bCs/>
                <w:sz w:val="20"/>
                <w:szCs w:val="20"/>
              </w:rPr>
              <w:t>District Leadership Team collaborates with</w:t>
            </w:r>
            <w:r>
              <w:rPr>
                <w:rFonts w:cstheme="minorHAnsi"/>
                <w:bCs/>
                <w:sz w:val="20"/>
                <w:szCs w:val="20"/>
              </w:rPr>
              <w:t xml:space="preserve"> KDE</w:t>
            </w:r>
            <w:r w:rsidRPr="00F96181">
              <w:rPr>
                <w:rFonts w:cstheme="minorHAnsi"/>
                <w:bCs/>
                <w:sz w:val="20"/>
                <w:szCs w:val="20"/>
              </w:rPr>
              <w:t xml:space="preserve"> Effectiveness Coach to create, monitor, enact and refine the </w:t>
            </w:r>
            <w:r>
              <w:rPr>
                <w:rFonts w:cstheme="minorHAnsi"/>
                <w:bCs/>
                <w:sz w:val="20"/>
                <w:szCs w:val="20"/>
              </w:rPr>
              <w:t>MDC</w:t>
            </w:r>
            <w:r w:rsidRPr="00F96181">
              <w:rPr>
                <w:rFonts w:cstheme="minorHAnsi"/>
                <w:bCs/>
                <w:sz w:val="20"/>
                <w:szCs w:val="20"/>
              </w:rPr>
              <w:t xml:space="preserve"> implementation plan.</w:t>
            </w:r>
          </w:p>
        </w:tc>
        <w:tc>
          <w:tcPr>
            <w:tcW w:w="108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c>
          <w:tcPr>
            <w:tcW w:w="144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r>
      <w:tr w:rsidR="000E4E55" w:rsidRPr="00024E92" w:rsidTr="00BC6F4D">
        <w:trPr>
          <w:trHeight w:val="611"/>
        </w:trPr>
        <w:tc>
          <w:tcPr>
            <w:tcW w:w="8100" w:type="dxa"/>
          </w:tcPr>
          <w:p w:rsidR="000E4E55" w:rsidRPr="00F96181" w:rsidRDefault="000E4E55" w:rsidP="00F96181">
            <w:pPr>
              <w:pStyle w:val="ListParagraph"/>
              <w:numPr>
                <w:ilvl w:val="0"/>
                <w:numId w:val="3"/>
              </w:numPr>
              <w:rPr>
                <w:rFonts w:cstheme="minorHAnsi"/>
                <w:bCs/>
                <w:sz w:val="20"/>
                <w:szCs w:val="20"/>
              </w:rPr>
            </w:pPr>
            <w:r w:rsidRPr="00F96181">
              <w:rPr>
                <w:rFonts w:cstheme="minorHAnsi"/>
                <w:bCs/>
                <w:sz w:val="20"/>
                <w:szCs w:val="20"/>
              </w:rPr>
              <w:t>Evidence (such as changed teacher practice, teacher feedback, or increased student achievement) exists that MDC is being implemented with quality</w:t>
            </w:r>
            <w:r>
              <w:rPr>
                <w:rFonts w:cstheme="minorHAnsi"/>
                <w:bCs/>
                <w:sz w:val="20"/>
                <w:szCs w:val="20"/>
              </w:rPr>
              <w:t xml:space="preserve"> </w:t>
            </w:r>
            <w:r w:rsidRPr="008E4EF5">
              <w:rPr>
                <w:rFonts w:cstheme="minorHAnsi"/>
                <w:bCs/>
                <w:sz w:val="20"/>
                <w:szCs w:val="20"/>
              </w:rPr>
              <w:t>(robust, with fidelity).</w:t>
            </w:r>
          </w:p>
        </w:tc>
        <w:tc>
          <w:tcPr>
            <w:tcW w:w="108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c>
          <w:tcPr>
            <w:tcW w:w="144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r>
      <w:tr w:rsidR="000E4E55" w:rsidRPr="00024E92" w:rsidTr="00BC6F4D">
        <w:trPr>
          <w:trHeight w:val="440"/>
        </w:trPr>
        <w:tc>
          <w:tcPr>
            <w:tcW w:w="8100" w:type="dxa"/>
          </w:tcPr>
          <w:p w:rsidR="000E4E55" w:rsidRPr="00F96181" w:rsidRDefault="000E4E55" w:rsidP="00F96181">
            <w:pPr>
              <w:pStyle w:val="ListParagraph"/>
              <w:numPr>
                <w:ilvl w:val="0"/>
                <w:numId w:val="3"/>
              </w:numPr>
              <w:rPr>
                <w:rFonts w:cstheme="minorHAnsi"/>
                <w:bCs/>
                <w:sz w:val="20"/>
                <w:szCs w:val="20"/>
              </w:rPr>
            </w:pPr>
            <w:r w:rsidRPr="00F96181">
              <w:rPr>
                <w:rFonts w:cstheme="minorHAnsi"/>
                <w:bCs/>
                <w:sz w:val="20"/>
                <w:szCs w:val="20"/>
              </w:rPr>
              <w:t>Teacher leaders support</w:t>
            </w:r>
            <w:r>
              <w:rPr>
                <w:rFonts w:cstheme="minorHAnsi"/>
                <w:bCs/>
                <w:sz w:val="20"/>
                <w:szCs w:val="20"/>
              </w:rPr>
              <w:t>/lead</w:t>
            </w:r>
            <w:r w:rsidRPr="00F96181">
              <w:rPr>
                <w:rFonts w:cstheme="minorHAnsi"/>
                <w:bCs/>
                <w:sz w:val="20"/>
                <w:szCs w:val="20"/>
              </w:rPr>
              <w:t xml:space="preserve"> professional learning communities to implement and scale MDC.</w:t>
            </w:r>
          </w:p>
        </w:tc>
        <w:tc>
          <w:tcPr>
            <w:tcW w:w="108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c>
          <w:tcPr>
            <w:tcW w:w="144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r>
      <w:tr w:rsidR="000E4E55" w:rsidRPr="00024E92" w:rsidTr="00BC6F4D">
        <w:trPr>
          <w:trHeight w:val="710"/>
        </w:trPr>
        <w:tc>
          <w:tcPr>
            <w:tcW w:w="8100" w:type="dxa"/>
          </w:tcPr>
          <w:p w:rsidR="000E4E55" w:rsidRPr="00F96181" w:rsidRDefault="000E4E55" w:rsidP="00F96181">
            <w:pPr>
              <w:pStyle w:val="ListParagraph"/>
              <w:numPr>
                <w:ilvl w:val="0"/>
                <w:numId w:val="3"/>
              </w:numPr>
              <w:rPr>
                <w:rFonts w:cstheme="minorHAnsi"/>
                <w:bCs/>
                <w:sz w:val="20"/>
                <w:szCs w:val="20"/>
              </w:rPr>
            </w:pPr>
            <w:r w:rsidRPr="00F96181">
              <w:rPr>
                <w:rFonts w:cstheme="minorHAnsi"/>
                <w:bCs/>
                <w:sz w:val="20"/>
                <w:szCs w:val="20"/>
              </w:rPr>
              <w:t>Improved teacher practice in</w:t>
            </w:r>
            <w:r>
              <w:rPr>
                <w:rFonts w:cstheme="minorHAnsi"/>
                <w:bCs/>
                <w:sz w:val="20"/>
                <w:szCs w:val="20"/>
              </w:rPr>
              <w:t xml:space="preserve"> routine</w:t>
            </w:r>
            <w:r w:rsidRPr="00F96181">
              <w:rPr>
                <w:rFonts w:cstheme="minorHAnsi"/>
                <w:bCs/>
                <w:sz w:val="20"/>
                <w:szCs w:val="20"/>
              </w:rPr>
              <w:t xml:space="preserve"> mathematics instruction extends beyond implementation of the formative assessment lesson.</w:t>
            </w:r>
          </w:p>
        </w:tc>
        <w:tc>
          <w:tcPr>
            <w:tcW w:w="108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c>
          <w:tcPr>
            <w:tcW w:w="1440" w:type="dxa"/>
          </w:tcPr>
          <w:p w:rsidR="000E4E55" w:rsidRPr="00024E92" w:rsidRDefault="000E4E55" w:rsidP="00B46326">
            <w:pPr>
              <w:rPr>
                <w:rFonts w:cstheme="minorHAnsi"/>
              </w:rPr>
            </w:pPr>
          </w:p>
        </w:tc>
        <w:tc>
          <w:tcPr>
            <w:tcW w:w="1260" w:type="dxa"/>
          </w:tcPr>
          <w:p w:rsidR="000E4E55" w:rsidRPr="00024E92" w:rsidRDefault="000E4E55" w:rsidP="00B46326">
            <w:pPr>
              <w:rPr>
                <w:rFonts w:cstheme="minorHAnsi"/>
              </w:rPr>
            </w:pPr>
          </w:p>
        </w:tc>
      </w:tr>
      <w:tr w:rsidR="00382F15" w:rsidRPr="00024E92" w:rsidTr="00BC6F4D">
        <w:trPr>
          <w:trHeight w:val="710"/>
        </w:trPr>
        <w:tc>
          <w:tcPr>
            <w:tcW w:w="8100" w:type="dxa"/>
            <w:tcBorders>
              <w:right w:val="single" w:sz="4" w:space="0" w:color="E5DFEC" w:themeColor="accent4" w:themeTint="33"/>
            </w:tcBorders>
            <w:shd w:val="clear" w:color="auto" w:fill="E5DFEC" w:themeFill="accent4" w:themeFillTint="33"/>
          </w:tcPr>
          <w:p w:rsidR="00382F15" w:rsidRDefault="00382F15" w:rsidP="00382F15">
            <w:pPr>
              <w:rPr>
                <w:b/>
              </w:rPr>
            </w:pPr>
            <w:r w:rsidRPr="00382F15">
              <w:rPr>
                <w:b/>
              </w:rPr>
              <w:t>Comments/Next Steps:</w:t>
            </w:r>
          </w:p>
          <w:p w:rsidR="00BC6F4D" w:rsidRDefault="00BC6F4D" w:rsidP="00382F15">
            <w:pPr>
              <w:rPr>
                <w:b/>
                <w:sz w:val="144"/>
                <w:szCs w:val="144"/>
              </w:rPr>
            </w:pPr>
          </w:p>
          <w:p w:rsidR="00BC6F4D" w:rsidRPr="00BC6F4D" w:rsidRDefault="00BC6F4D" w:rsidP="00382F15">
            <w:pPr>
              <w:rPr>
                <w:rFonts w:cstheme="minorHAnsi"/>
                <w:bCs/>
                <w:sz w:val="44"/>
                <w:szCs w:val="44"/>
              </w:rPr>
            </w:pPr>
          </w:p>
        </w:tc>
        <w:tc>
          <w:tcPr>
            <w:tcW w:w="1080" w:type="dxa"/>
            <w:tcBorders>
              <w:left w:val="single" w:sz="4" w:space="0" w:color="E5DFEC" w:themeColor="accent4" w:themeTint="33"/>
              <w:right w:val="single" w:sz="4" w:space="0" w:color="E5DFEC" w:themeColor="accent4" w:themeTint="33"/>
            </w:tcBorders>
            <w:shd w:val="clear" w:color="auto" w:fill="E5DFEC" w:themeFill="accent4" w:themeFillTint="33"/>
          </w:tcPr>
          <w:p w:rsidR="00382F15" w:rsidRPr="00024E92" w:rsidRDefault="00382F15" w:rsidP="00B46326">
            <w:pPr>
              <w:rPr>
                <w:rFonts w:cstheme="minorHAnsi"/>
              </w:rPr>
            </w:pPr>
          </w:p>
        </w:tc>
        <w:tc>
          <w:tcPr>
            <w:tcW w:w="1260" w:type="dxa"/>
            <w:tcBorders>
              <w:left w:val="single" w:sz="4" w:space="0" w:color="E5DFEC" w:themeColor="accent4" w:themeTint="33"/>
              <w:right w:val="single" w:sz="4" w:space="0" w:color="E5DFEC" w:themeColor="accent4" w:themeTint="33"/>
            </w:tcBorders>
            <w:shd w:val="clear" w:color="auto" w:fill="E5DFEC" w:themeFill="accent4" w:themeFillTint="33"/>
          </w:tcPr>
          <w:p w:rsidR="00382F15" w:rsidRPr="00024E92" w:rsidRDefault="00382F15" w:rsidP="00B46326">
            <w:pPr>
              <w:rPr>
                <w:rFonts w:cstheme="minorHAnsi"/>
              </w:rPr>
            </w:pPr>
          </w:p>
        </w:tc>
        <w:tc>
          <w:tcPr>
            <w:tcW w:w="1440" w:type="dxa"/>
            <w:tcBorders>
              <w:left w:val="single" w:sz="4" w:space="0" w:color="E5DFEC" w:themeColor="accent4" w:themeTint="33"/>
              <w:right w:val="single" w:sz="4" w:space="0" w:color="E5DFEC" w:themeColor="accent4" w:themeTint="33"/>
            </w:tcBorders>
            <w:shd w:val="clear" w:color="auto" w:fill="E5DFEC" w:themeFill="accent4" w:themeFillTint="33"/>
          </w:tcPr>
          <w:p w:rsidR="00382F15" w:rsidRPr="00024E92" w:rsidRDefault="00382F15" w:rsidP="00B46326">
            <w:pPr>
              <w:rPr>
                <w:rFonts w:cstheme="minorHAnsi"/>
              </w:rPr>
            </w:pPr>
          </w:p>
        </w:tc>
        <w:tc>
          <w:tcPr>
            <w:tcW w:w="1260" w:type="dxa"/>
            <w:tcBorders>
              <w:left w:val="single" w:sz="4" w:space="0" w:color="E5DFEC" w:themeColor="accent4" w:themeTint="33"/>
            </w:tcBorders>
            <w:shd w:val="clear" w:color="auto" w:fill="E5DFEC" w:themeFill="accent4" w:themeFillTint="33"/>
          </w:tcPr>
          <w:p w:rsidR="00382F15" w:rsidRPr="00024E92" w:rsidRDefault="00382F15" w:rsidP="00B46326">
            <w:pPr>
              <w:rPr>
                <w:rFonts w:cstheme="minorHAnsi"/>
              </w:rPr>
            </w:pPr>
          </w:p>
        </w:tc>
      </w:tr>
      <w:tr w:rsidR="000E4E55" w:rsidRPr="00024E92" w:rsidTr="00BC6F4D">
        <w:trPr>
          <w:trHeight w:val="512"/>
        </w:trPr>
        <w:tc>
          <w:tcPr>
            <w:tcW w:w="8100" w:type="dxa"/>
            <w:shd w:val="clear" w:color="auto" w:fill="DBE5F1" w:themeFill="accent1" w:themeFillTint="33"/>
          </w:tcPr>
          <w:p w:rsidR="000E4E55" w:rsidRPr="00382F15" w:rsidRDefault="000E4E55" w:rsidP="00171B79">
            <w:pPr>
              <w:rPr>
                <w:rFonts w:cstheme="minorHAnsi"/>
                <w:b/>
                <w:bCs/>
                <w:sz w:val="28"/>
              </w:rPr>
            </w:pPr>
            <w:r w:rsidRPr="00382F15">
              <w:rPr>
                <w:rFonts w:cstheme="minorHAnsi"/>
                <w:b/>
                <w:bCs/>
                <w:sz w:val="28"/>
              </w:rPr>
              <w:lastRenderedPageBreak/>
              <w:t>4: Next Generation Assessment Systems</w:t>
            </w:r>
          </w:p>
          <w:p w:rsidR="000E4E55" w:rsidRPr="00DB587B" w:rsidRDefault="000E4E55" w:rsidP="00171B79">
            <w:pPr>
              <w:rPr>
                <w:rFonts w:cstheme="minorHAnsi"/>
                <w:b/>
                <w:bCs/>
                <w:color w:val="FFFFFF" w:themeColor="background1"/>
              </w:rPr>
            </w:pPr>
          </w:p>
        </w:tc>
        <w:tc>
          <w:tcPr>
            <w:tcW w:w="108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Beginning</w:t>
            </w:r>
          </w:p>
        </w:tc>
        <w:tc>
          <w:tcPr>
            <w:tcW w:w="126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Progressing</w:t>
            </w:r>
          </w:p>
        </w:tc>
        <w:tc>
          <w:tcPr>
            <w:tcW w:w="144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Pr>
                <w:rFonts w:cstheme="minorHAnsi"/>
                <w:b/>
                <w:bCs/>
                <w:color w:val="FFFFFF" w:themeColor="background1"/>
                <w:sz w:val="20"/>
                <w:szCs w:val="20"/>
              </w:rPr>
              <w:t>Implementing</w:t>
            </w:r>
            <w:r w:rsidRPr="008E4EF5">
              <w:rPr>
                <w:rFonts w:cstheme="minorHAnsi"/>
                <w:b/>
                <w:bCs/>
                <w:color w:val="FFFFFF" w:themeColor="background1"/>
                <w:sz w:val="20"/>
                <w:szCs w:val="20"/>
              </w:rPr>
              <w:t>/Refining</w:t>
            </w:r>
          </w:p>
        </w:tc>
        <w:tc>
          <w:tcPr>
            <w:tcW w:w="126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Pr>
                <w:rFonts w:cstheme="minorHAnsi"/>
                <w:b/>
                <w:bCs/>
                <w:color w:val="FFFFFF" w:themeColor="background1"/>
                <w:sz w:val="20"/>
                <w:szCs w:val="20"/>
              </w:rPr>
              <w:t>Sustaining/Refining</w:t>
            </w:r>
          </w:p>
        </w:tc>
      </w:tr>
      <w:tr w:rsidR="000E4E55" w:rsidRPr="00024E92" w:rsidTr="00BC6F4D">
        <w:trPr>
          <w:trHeight w:val="602"/>
        </w:trPr>
        <w:tc>
          <w:tcPr>
            <w:tcW w:w="8100" w:type="dxa"/>
          </w:tcPr>
          <w:p w:rsidR="000E4E55" w:rsidRPr="00F96181" w:rsidRDefault="000E4E55" w:rsidP="00FC7082">
            <w:pPr>
              <w:pStyle w:val="ListParagraph"/>
              <w:numPr>
                <w:ilvl w:val="0"/>
                <w:numId w:val="4"/>
              </w:numPr>
              <w:rPr>
                <w:sz w:val="20"/>
                <w:szCs w:val="20"/>
              </w:rPr>
            </w:pPr>
            <w:r w:rsidRPr="00F96181">
              <w:rPr>
                <w:rFonts w:cstheme="minorHAnsi"/>
                <w:bCs/>
                <w:sz w:val="20"/>
                <w:szCs w:val="20"/>
              </w:rPr>
              <w:t xml:space="preserve">Opportunities and structures exist to learn about, develop, implement, refine and share assessments that meet the </w:t>
            </w:r>
            <w:r>
              <w:rPr>
                <w:rFonts w:cstheme="minorHAnsi"/>
                <w:bCs/>
                <w:sz w:val="20"/>
                <w:szCs w:val="20"/>
              </w:rPr>
              <w:t>intent</w:t>
            </w:r>
            <w:r w:rsidRPr="00F96181">
              <w:rPr>
                <w:rFonts w:cstheme="minorHAnsi"/>
                <w:bCs/>
                <w:sz w:val="20"/>
                <w:szCs w:val="20"/>
              </w:rPr>
              <w:t xml:space="preserve"> of</w:t>
            </w:r>
            <w:r>
              <w:rPr>
                <w:rFonts w:cstheme="minorHAnsi"/>
                <w:bCs/>
                <w:sz w:val="20"/>
                <w:szCs w:val="20"/>
              </w:rPr>
              <w:t xml:space="preserve"> next generation learning and K</w:t>
            </w:r>
            <w:r w:rsidRPr="00F96181">
              <w:rPr>
                <w:rFonts w:cstheme="minorHAnsi"/>
                <w:bCs/>
                <w:sz w:val="20"/>
                <w:szCs w:val="20"/>
              </w:rPr>
              <w:t>AS.</w:t>
            </w:r>
          </w:p>
        </w:tc>
        <w:tc>
          <w:tcPr>
            <w:tcW w:w="1080" w:type="dxa"/>
          </w:tcPr>
          <w:p w:rsidR="000E4E55" w:rsidRDefault="000E4E55" w:rsidP="009428D8">
            <w:pPr>
              <w:jc w:val="center"/>
              <w:rPr>
                <w:rFonts w:cstheme="minorHAnsi"/>
                <w:bCs/>
              </w:rPr>
            </w:pPr>
          </w:p>
        </w:tc>
        <w:tc>
          <w:tcPr>
            <w:tcW w:w="1260" w:type="dxa"/>
          </w:tcPr>
          <w:p w:rsidR="000E4E55" w:rsidRDefault="000E4E55" w:rsidP="009428D8">
            <w:pPr>
              <w:jc w:val="center"/>
              <w:rPr>
                <w:rFonts w:cstheme="minorHAnsi"/>
                <w:bCs/>
              </w:rPr>
            </w:pPr>
          </w:p>
        </w:tc>
        <w:tc>
          <w:tcPr>
            <w:tcW w:w="1440" w:type="dxa"/>
          </w:tcPr>
          <w:p w:rsidR="000E4E55" w:rsidRDefault="000E4E55" w:rsidP="009428D8">
            <w:pPr>
              <w:jc w:val="center"/>
              <w:rPr>
                <w:rFonts w:cstheme="minorHAnsi"/>
                <w:bCs/>
              </w:rPr>
            </w:pPr>
          </w:p>
        </w:tc>
        <w:tc>
          <w:tcPr>
            <w:tcW w:w="1260" w:type="dxa"/>
          </w:tcPr>
          <w:p w:rsidR="000E4E55" w:rsidRDefault="000E4E55" w:rsidP="009428D8">
            <w:pPr>
              <w:jc w:val="center"/>
              <w:rPr>
                <w:rFonts w:cstheme="minorHAnsi"/>
                <w:bCs/>
              </w:rPr>
            </w:pPr>
          </w:p>
        </w:tc>
      </w:tr>
      <w:tr w:rsidR="000E4E55" w:rsidRPr="00024E92" w:rsidTr="00BC6F4D">
        <w:trPr>
          <w:trHeight w:val="413"/>
        </w:trPr>
        <w:tc>
          <w:tcPr>
            <w:tcW w:w="8100" w:type="dxa"/>
          </w:tcPr>
          <w:p w:rsidR="000E4E55" w:rsidRPr="00F96181" w:rsidRDefault="000E4E55" w:rsidP="000F4D40">
            <w:pPr>
              <w:pStyle w:val="ListParagraph"/>
              <w:numPr>
                <w:ilvl w:val="0"/>
                <w:numId w:val="4"/>
              </w:numPr>
              <w:rPr>
                <w:rFonts w:cstheme="minorHAnsi"/>
                <w:bCs/>
                <w:sz w:val="20"/>
                <w:szCs w:val="20"/>
              </w:rPr>
            </w:pPr>
            <w:r w:rsidRPr="00F96181">
              <w:rPr>
                <w:rFonts w:cstheme="minorHAnsi"/>
                <w:bCs/>
                <w:sz w:val="20"/>
                <w:szCs w:val="20"/>
              </w:rPr>
              <w:t xml:space="preserve">Teachers participate in professional learning focused on </w:t>
            </w:r>
            <w:r w:rsidRPr="008E4EF5">
              <w:rPr>
                <w:rFonts w:cstheme="minorHAnsi"/>
                <w:bCs/>
                <w:sz w:val="20"/>
                <w:szCs w:val="20"/>
              </w:rPr>
              <w:t xml:space="preserve">classroom assessment practices and a next generation assessment system that aligns to KAS and the Framework for Teaching. </w:t>
            </w:r>
          </w:p>
        </w:tc>
        <w:tc>
          <w:tcPr>
            <w:tcW w:w="1080" w:type="dxa"/>
          </w:tcPr>
          <w:p w:rsidR="000E4E55" w:rsidRDefault="000E4E55" w:rsidP="009428D8">
            <w:pPr>
              <w:jc w:val="center"/>
              <w:rPr>
                <w:rFonts w:cstheme="minorHAnsi"/>
                <w:bCs/>
              </w:rPr>
            </w:pPr>
          </w:p>
        </w:tc>
        <w:tc>
          <w:tcPr>
            <w:tcW w:w="1260" w:type="dxa"/>
          </w:tcPr>
          <w:p w:rsidR="000E4E55" w:rsidRDefault="000E4E55" w:rsidP="009428D8">
            <w:pPr>
              <w:jc w:val="center"/>
              <w:rPr>
                <w:rFonts w:cstheme="minorHAnsi"/>
                <w:bCs/>
              </w:rPr>
            </w:pPr>
          </w:p>
        </w:tc>
        <w:tc>
          <w:tcPr>
            <w:tcW w:w="1440" w:type="dxa"/>
          </w:tcPr>
          <w:p w:rsidR="000E4E55" w:rsidRDefault="000E4E55" w:rsidP="009428D8">
            <w:pPr>
              <w:jc w:val="center"/>
              <w:rPr>
                <w:rFonts w:cstheme="minorHAnsi"/>
                <w:bCs/>
              </w:rPr>
            </w:pPr>
          </w:p>
        </w:tc>
        <w:tc>
          <w:tcPr>
            <w:tcW w:w="1260" w:type="dxa"/>
          </w:tcPr>
          <w:p w:rsidR="000E4E55" w:rsidRDefault="000E4E55" w:rsidP="009428D8">
            <w:pPr>
              <w:jc w:val="center"/>
              <w:rPr>
                <w:rFonts w:cstheme="minorHAnsi"/>
                <w:bCs/>
              </w:rPr>
            </w:pPr>
          </w:p>
        </w:tc>
      </w:tr>
      <w:tr w:rsidR="000E4E55" w:rsidRPr="00024E92" w:rsidTr="00BC6F4D">
        <w:trPr>
          <w:trHeight w:val="638"/>
        </w:trPr>
        <w:tc>
          <w:tcPr>
            <w:tcW w:w="8100" w:type="dxa"/>
          </w:tcPr>
          <w:p w:rsidR="000E4E55" w:rsidRPr="00F96181" w:rsidRDefault="000E4E55" w:rsidP="008E4EF5">
            <w:pPr>
              <w:pStyle w:val="ListParagraph"/>
              <w:numPr>
                <w:ilvl w:val="0"/>
                <w:numId w:val="4"/>
              </w:numPr>
              <w:rPr>
                <w:rFonts w:cstheme="minorHAnsi"/>
                <w:bCs/>
                <w:sz w:val="20"/>
                <w:szCs w:val="20"/>
              </w:rPr>
            </w:pPr>
            <w:r w:rsidRPr="008E4EF5">
              <w:rPr>
                <w:rFonts w:cstheme="minorHAnsi"/>
                <w:bCs/>
                <w:sz w:val="20"/>
                <w:szCs w:val="20"/>
              </w:rPr>
              <w:t xml:space="preserve">Teachers develop high quality assessments that represent a range of assessment types and purposes. </w:t>
            </w:r>
          </w:p>
        </w:tc>
        <w:tc>
          <w:tcPr>
            <w:tcW w:w="1080" w:type="dxa"/>
          </w:tcPr>
          <w:p w:rsidR="000E4E55" w:rsidRPr="00024E92" w:rsidRDefault="000E4E55" w:rsidP="009428D8">
            <w:pPr>
              <w:jc w:val="center"/>
              <w:rPr>
                <w:rFonts w:cstheme="minorHAnsi"/>
                <w:bCs/>
              </w:rPr>
            </w:pPr>
          </w:p>
        </w:tc>
        <w:tc>
          <w:tcPr>
            <w:tcW w:w="1260" w:type="dxa"/>
          </w:tcPr>
          <w:p w:rsidR="000E4E55" w:rsidRPr="00024E92" w:rsidRDefault="000E4E55" w:rsidP="009428D8">
            <w:pPr>
              <w:jc w:val="center"/>
              <w:rPr>
                <w:rFonts w:cstheme="minorHAnsi"/>
                <w:bCs/>
              </w:rPr>
            </w:pPr>
          </w:p>
        </w:tc>
        <w:tc>
          <w:tcPr>
            <w:tcW w:w="1440" w:type="dxa"/>
          </w:tcPr>
          <w:p w:rsidR="000E4E55" w:rsidRPr="00024E92" w:rsidRDefault="000E4E55" w:rsidP="009428D8">
            <w:pPr>
              <w:jc w:val="center"/>
              <w:rPr>
                <w:rFonts w:cstheme="minorHAnsi"/>
                <w:bCs/>
              </w:rPr>
            </w:pPr>
          </w:p>
        </w:tc>
        <w:tc>
          <w:tcPr>
            <w:tcW w:w="1260" w:type="dxa"/>
          </w:tcPr>
          <w:p w:rsidR="000E4E55" w:rsidRPr="00024E92" w:rsidRDefault="000E4E55" w:rsidP="009428D8">
            <w:pPr>
              <w:jc w:val="center"/>
              <w:rPr>
                <w:rFonts w:cstheme="minorHAnsi"/>
                <w:bCs/>
              </w:rPr>
            </w:pPr>
          </w:p>
        </w:tc>
      </w:tr>
      <w:tr w:rsidR="000E4E55" w:rsidRPr="00024E92" w:rsidTr="00BC6F4D">
        <w:trPr>
          <w:trHeight w:val="512"/>
        </w:trPr>
        <w:tc>
          <w:tcPr>
            <w:tcW w:w="8100" w:type="dxa"/>
          </w:tcPr>
          <w:p w:rsidR="000E4E55" w:rsidRPr="00167C7C" w:rsidRDefault="000E4E55" w:rsidP="0011574A">
            <w:pPr>
              <w:pStyle w:val="ListParagraph"/>
              <w:numPr>
                <w:ilvl w:val="0"/>
                <w:numId w:val="4"/>
              </w:numPr>
              <w:rPr>
                <w:rFonts w:cstheme="minorHAnsi"/>
                <w:bCs/>
                <w:strike/>
                <w:sz w:val="20"/>
                <w:szCs w:val="20"/>
              </w:rPr>
            </w:pPr>
            <w:r w:rsidRPr="00CA58D8">
              <w:rPr>
                <w:rFonts w:cstheme="minorHAnsi"/>
                <w:bCs/>
                <w:sz w:val="20"/>
                <w:szCs w:val="20"/>
              </w:rPr>
              <w:t xml:space="preserve">High quality, teacher-developed assessments provide evidence that allows shareholders to evaluate and communicate growth along well-defined learning progressions. The system of assessment includes a balance of items (e.g. performance tasks, common assessments, through-course assessment, student growth measures, formative assessment, interim assessment, </w:t>
            </w:r>
            <w:r w:rsidRPr="00CA58D8">
              <w:rPr>
                <w:rFonts w:cstheme="minorHAnsi"/>
                <w:bCs/>
                <w:strike/>
                <w:sz w:val="20"/>
                <w:szCs w:val="20"/>
              </w:rPr>
              <w:t>or</w:t>
            </w:r>
            <w:r w:rsidRPr="00CA58D8">
              <w:rPr>
                <w:rFonts w:cstheme="minorHAnsi"/>
                <w:bCs/>
                <w:sz w:val="20"/>
                <w:szCs w:val="20"/>
              </w:rPr>
              <w:t xml:space="preserve"> components of LDC and MDC).</w:t>
            </w:r>
          </w:p>
        </w:tc>
        <w:tc>
          <w:tcPr>
            <w:tcW w:w="1080" w:type="dxa"/>
          </w:tcPr>
          <w:p w:rsidR="000E4E55" w:rsidRPr="00024E92" w:rsidRDefault="000E4E55" w:rsidP="009428D8">
            <w:pPr>
              <w:jc w:val="center"/>
              <w:rPr>
                <w:rFonts w:cstheme="minorHAnsi"/>
                <w:bCs/>
              </w:rPr>
            </w:pPr>
          </w:p>
        </w:tc>
        <w:tc>
          <w:tcPr>
            <w:tcW w:w="1260" w:type="dxa"/>
          </w:tcPr>
          <w:p w:rsidR="000E4E55" w:rsidRPr="00024E92" w:rsidRDefault="000E4E55" w:rsidP="009428D8">
            <w:pPr>
              <w:jc w:val="center"/>
              <w:rPr>
                <w:rFonts w:cstheme="minorHAnsi"/>
                <w:bCs/>
              </w:rPr>
            </w:pPr>
          </w:p>
        </w:tc>
        <w:tc>
          <w:tcPr>
            <w:tcW w:w="1440" w:type="dxa"/>
          </w:tcPr>
          <w:p w:rsidR="000E4E55" w:rsidRPr="00024E92" w:rsidRDefault="000E4E55" w:rsidP="009428D8">
            <w:pPr>
              <w:jc w:val="center"/>
              <w:rPr>
                <w:rFonts w:cstheme="minorHAnsi"/>
                <w:bCs/>
              </w:rPr>
            </w:pPr>
          </w:p>
        </w:tc>
        <w:tc>
          <w:tcPr>
            <w:tcW w:w="1260" w:type="dxa"/>
          </w:tcPr>
          <w:p w:rsidR="000E4E55" w:rsidRPr="00024E92" w:rsidRDefault="000E4E55" w:rsidP="009428D8">
            <w:pPr>
              <w:jc w:val="center"/>
              <w:rPr>
                <w:rFonts w:cstheme="minorHAnsi"/>
                <w:bCs/>
              </w:rPr>
            </w:pPr>
          </w:p>
        </w:tc>
      </w:tr>
      <w:tr w:rsidR="000E4E55" w:rsidRPr="00024E92" w:rsidTr="00BC6F4D">
        <w:trPr>
          <w:trHeight w:val="350"/>
        </w:trPr>
        <w:tc>
          <w:tcPr>
            <w:tcW w:w="8100" w:type="dxa"/>
          </w:tcPr>
          <w:p w:rsidR="000E4E55" w:rsidRPr="001154DA" w:rsidRDefault="000E4E55" w:rsidP="00A0379F">
            <w:pPr>
              <w:pStyle w:val="ListParagraph"/>
              <w:numPr>
                <w:ilvl w:val="0"/>
                <w:numId w:val="4"/>
              </w:numPr>
              <w:rPr>
                <w:rFonts w:cstheme="minorHAnsi"/>
                <w:bCs/>
                <w:sz w:val="20"/>
                <w:szCs w:val="20"/>
              </w:rPr>
            </w:pPr>
            <w:r w:rsidRPr="001154DA">
              <w:rPr>
                <w:rFonts w:cstheme="minorHAnsi"/>
                <w:bCs/>
                <w:sz w:val="20"/>
                <w:szCs w:val="20"/>
              </w:rPr>
              <w:t xml:space="preserve">Teacher leaders plan/lead professional learning to support implementation of </w:t>
            </w:r>
            <w:r w:rsidRPr="0011574A">
              <w:rPr>
                <w:rFonts w:cstheme="minorHAnsi"/>
                <w:bCs/>
                <w:sz w:val="20"/>
                <w:szCs w:val="20"/>
              </w:rPr>
              <w:t>a high quality system of assessments.</w:t>
            </w:r>
          </w:p>
        </w:tc>
        <w:tc>
          <w:tcPr>
            <w:tcW w:w="1080" w:type="dxa"/>
          </w:tcPr>
          <w:p w:rsidR="000E4E55" w:rsidRPr="00024E92" w:rsidRDefault="000E4E55" w:rsidP="009428D8">
            <w:pPr>
              <w:jc w:val="center"/>
              <w:rPr>
                <w:rFonts w:cstheme="minorHAnsi"/>
                <w:bCs/>
              </w:rPr>
            </w:pPr>
          </w:p>
        </w:tc>
        <w:tc>
          <w:tcPr>
            <w:tcW w:w="1260" w:type="dxa"/>
          </w:tcPr>
          <w:p w:rsidR="000E4E55" w:rsidRPr="00024E92" w:rsidRDefault="000E4E55" w:rsidP="009428D8">
            <w:pPr>
              <w:jc w:val="center"/>
              <w:rPr>
                <w:rFonts w:cstheme="minorHAnsi"/>
                <w:bCs/>
              </w:rPr>
            </w:pPr>
          </w:p>
        </w:tc>
        <w:tc>
          <w:tcPr>
            <w:tcW w:w="1440" w:type="dxa"/>
          </w:tcPr>
          <w:p w:rsidR="000E4E55" w:rsidRPr="00024E92" w:rsidRDefault="000E4E55" w:rsidP="009428D8">
            <w:pPr>
              <w:jc w:val="center"/>
              <w:rPr>
                <w:rFonts w:cstheme="minorHAnsi"/>
                <w:bCs/>
              </w:rPr>
            </w:pPr>
          </w:p>
        </w:tc>
        <w:tc>
          <w:tcPr>
            <w:tcW w:w="1260" w:type="dxa"/>
          </w:tcPr>
          <w:p w:rsidR="000E4E55" w:rsidRPr="00024E92" w:rsidRDefault="000E4E55" w:rsidP="009428D8">
            <w:pPr>
              <w:jc w:val="center"/>
              <w:rPr>
                <w:rFonts w:cstheme="minorHAnsi"/>
                <w:bCs/>
              </w:rPr>
            </w:pPr>
          </w:p>
        </w:tc>
      </w:tr>
      <w:tr w:rsidR="000E4E55" w:rsidRPr="00024E92" w:rsidTr="00BC6F4D">
        <w:trPr>
          <w:trHeight w:val="620"/>
        </w:trPr>
        <w:tc>
          <w:tcPr>
            <w:tcW w:w="8100" w:type="dxa"/>
          </w:tcPr>
          <w:p w:rsidR="000E4E55" w:rsidRPr="00F96181" w:rsidRDefault="000E4E55" w:rsidP="0011574A">
            <w:pPr>
              <w:pStyle w:val="ListParagraph"/>
              <w:numPr>
                <w:ilvl w:val="0"/>
                <w:numId w:val="4"/>
              </w:numPr>
              <w:rPr>
                <w:rFonts w:cstheme="minorHAnsi"/>
                <w:bCs/>
                <w:sz w:val="20"/>
                <w:szCs w:val="20"/>
              </w:rPr>
            </w:pPr>
            <w:r w:rsidRPr="00F96181">
              <w:rPr>
                <w:rFonts w:cstheme="minorHAnsi"/>
                <w:bCs/>
                <w:sz w:val="20"/>
                <w:szCs w:val="20"/>
              </w:rPr>
              <w:t xml:space="preserve">Evidence exists that teachers are applying </w:t>
            </w:r>
            <w:r w:rsidRPr="0011574A">
              <w:rPr>
                <w:rFonts w:cstheme="minorHAnsi"/>
                <w:bCs/>
                <w:sz w:val="20"/>
                <w:szCs w:val="20"/>
              </w:rPr>
              <w:t xml:space="preserve">a balance of effective assessment </w:t>
            </w:r>
            <w:r w:rsidRPr="00F96181">
              <w:rPr>
                <w:rFonts w:cstheme="minorHAnsi"/>
                <w:bCs/>
                <w:sz w:val="20"/>
                <w:szCs w:val="20"/>
              </w:rPr>
              <w:t>practices in the classroom.</w:t>
            </w:r>
          </w:p>
        </w:tc>
        <w:tc>
          <w:tcPr>
            <w:tcW w:w="1080" w:type="dxa"/>
          </w:tcPr>
          <w:p w:rsidR="000E4E55" w:rsidRPr="00024E92" w:rsidRDefault="000E4E55" w:rsidP="009428D8">
            <w:pPr>
              <w:jc w:val="center"/>
              <w:rPr>
                <w:rFonts w:cstheme="minorHAnsi"/>
                <w:bCs/>
              </w:rPr>
            </w:pPr>
          </w:p>
        </w:tc>
        <w:tc>
          <w:tcPr>
            <w:tcW w:w="1260" w:type="dxa"/>
          </w:tcPr>
          <w:p w:rsidR="000E4E55" w:rsidRPr="00024E92" w:rsidRDefault="000E4E55" w:rsidP="009428D8">
            <w:pPr>
              <w:jc w:val="center"/>
              <w:rPr>
                <w:rFonts w:cstheme="minorHAnsi"/>
                <w:bCs/>
              </w:rPr>
            </w:pPr>
          </w:p>
        </w:tc>
        <w:tc>
          <w:tcPr>
            <w:tcW w:w="1440" w:type="dxa"/>
          </w:tcPr>
          <w:p w:rsidR="000E4E55" w:rsidRPr="00024E92" w:rsidRDefault="000E4E55" w:rsidP="009428D8">
            <w:pPr>
              <w:jc w:val="center"/>
              <w:rPr>
                <w:rFonts w:cstheme="minorHAnsi"/>
                <w:bCs/>
              </w:rPr>
            </w:pPr>
          </w:p>
        </w:tc>
        <w:tc>
          <w:tcPr>
            <w:tcW w:w="1260" w:type="dxa"/>
          </w:tcPr>
          <w:p w:rsidR="000E4E55" w:rsidRPr="00024E92" w:rsidRDefault="000E4E55" w:rsidP="009428D8">
            <w:pPr>
              <w:jc w:val="center"/>
              <w:rPr>
                <w:rFonts w:cstheme="minorHAnsi"/>
                <w:bCs/>
              </w:rPr>
            </w:pPr>
          </w:p>
        </w:tc>
      </w:tr>
      <w:tr w:rsidR="00382F15" w:rsidRPr="00024E92" w:rsidTr="00BC6F4D">
        <w:trPr>
          <w:trHeight w:val="620"/>
        </w:trPr>
        <w:tc>
          <w:tcPr>
            <w:tcW w:w="8100" w:type="dxa"/>
            <w:tcBorders>
              <w:right w:val="single" w:sz="4" w:space="0" w:color="DBE5F1" w:themeColor="accent1" w:themeTint="33"/>
            </w:tcBorders>
            <w:shd w:val="clear" w:color="auto" w:fill="DBE5F1" w:themeFill="accent1" w:themeFillTint="33"/>
          </w:tcPr>
          <w:p w:rsidR="00382F15" w:rsidRDefault="00382F15" w:rsidP="00382F15">
            <w:pPr>
              <w:rPr>
                <w:b/>
              </w:rPr>
            </w:pPr>
            <w:r w:rsidRPr="00024E92">
              <w:rPr>
                <w:b/>
              </w:rPr>
              <w:t>Comments/Next Steps:</w:t>
            </w:r>
          </w:p>
          <w:p w:rsidR="00BC6F4D" w:rsidRDefault="00BC6F4D" w:rsidP="00382F15">
            <w:pPr>
              <w:rPr>
                <w:b/>
                <w:sz w:val="144"/>
                <w:szCs w:val="144"/>
              </w:rPr>
            </w:pPr>
          </w:p>
          <w:p w:rsidR="00BC6F4D" w:rsidRPr="00BC6F4D" w:rsidRDefault="00BC6F4D" w:rsidP="00382F15">
            <w:pPr>
              <w:rPr>
                <w:rFonts w:cstheme="minorHAnsi"/>
                <w:bCs/>
                <w:sz w:val="144"/>
                <w:szCs w:val="144"/>
              </w:rPr>
            </w:pPr>
          </w:p>
        </w:tc>
        <w:tc>
          <w:tcPr>
            <w:tcW w:w="1080" w:type="dxa"/>
            <w:tcBorders>
              <w:left w:val="single" w:sz="4" w:space="0" w:color="DBE5F1" w:themeColor="accent1" w:themeTint="33"/>
              <w:right w:val="single" w:sz="4" w:space="0" w:color="DBE5F1" w:themeColor="accent1" w:themeTint="33"/>
            </w:tcBorders>
            <w:shd w:val="clear" w:color="auto" w:fill="DBE5F1" w:themeFill="accent1" w:themeFillTint="33"/>
          </w:tcPr>
          <w:p w:rsidR="00382F15" w:rsidRPr="00024E92" w:rsidRDefault="00382F15" w:rsidP="009428D8">
            <w:pPr>
              <w:jc w:val="center"/>
              <w:rPr>
                <w:rFonts w:cstheme="minorHAnsi"/>
                <w:bCs/>
              </w:rPr>
            </w:pPr>
          </w:p>
        </w:tc>
        <w:tc>
          <w:tcPr>
            <w:tcW w:w="1260" w:type="dxa"/>
            <w:tcBorders>
              <w:left w:val="single" w:sz="4" w:space="0" w:color="DBE5F1" w:themeColor="accent1" w:themeTint="33"/>
              <w:right w:val="single" w:sz="4" w:space="0" w:color="DBE5F1" w:themeColor="accent1" w:themeTint="33"/>
            </w:tcBorders>
            <w:shd w:val="clear" w:color="auto" w:fill="DBE5F1" w:themeFill="accent1" w:themeFillTint="33"/>
          </w:tcPr>
          <w:p w:rsidR="00382F15" w:rsidRPr="00024E92" w:rsidRDefault="00382F15" w:rsidP="009428D8">
            <w:pPr>
              <w:jc w:val="center"/>
              <w:rPr>
                <w:rFonts w:cstheme="minorHAnsi"/>
                <w:bCs/>
              </w:rPr>
            </w:pPr>
          </w:p>
        </w:tc>
        <w:tc>
          <w:tcPr>
            <w:tcW w:w="1440" w:type="dxa"/>
            <w:tcBorders>
              <w:left w:val="single" w:sz="4" w:space="0" w:color="DBE5F1" w:themeColor="accent1" w:themeTint="33"/>
              <w:right w:val="single" w:sz="4" w:space="0" w:color="DBE5F1" w:themeColor="accent1" w:themeTint="33"/>
            </w:tcBorders>
            <w:shd w:val="clear" w:color="auto" w:fill="DBE5F1" w:themeFill="accent1" w:themeFillTint="33"/>
          </w:tcPr>
          <w:p w:rsidR="00382F15" w:rsidRPr="00024E92" w:rsidRDefault="00382F15" w:rsidP="009428D8">
            <w:pPr>
              <w:jc w:val="center"/>
              <w:rPr>
                <w:rFonts w:cstheme="minorHAnsi"/>
                <w:bCs/>
              </w:rPr>
            </w:pPr>
          </w:p>
        </w:tc>
        <w:tc>
          <w:tcPr>
            <w:tcW w:w="1260" w:type="dxa"/>
            <w:tcBorders>
              <w:left w:val="single" w:sz="4" w:space="0" w:color="DBE5F1" w:themeColor="accent1" w:themeTint="33"/>
            </w:tcBorders>
            <w:shd w:val="clear" w:color="auto" w:fill="DBE5F1" w:themeFill="accent1" w:themeFillTint="33"/>
          </w:tcPr>
          <w:p w:rsidR="00382F15" w:rsidRPr="00024E92" w:rsidRDefault="00382F15" w:rsidP="009428D8">
            <w:pPr>
              <w:jc w:val="center"/>
              <w:rPr>
                <w:rFonts w:cstheme="minorHAnsi"/>
                <w:bCs/>
              </w:rPr>
            </w:pPr>
          </w:p>
        </w:tc>
      </w:tr>
      <w:tr w:rsidR="000E4E55" w:rsidRPr="00024E92" w:rsidTr="001B362E">
        <w:trPr>
          <w:trHeight w:val="710"/>
        </w:trPr>
        <w:tc>
          <w:tcPr>
            <w:tcW w:w="8100" w:type="dxa"/>
            <w:shd w:val="clear" w:color="auto" w:fill="F2F2F2" w:themeFill="background1" w:themeFillShade="F2"/>
          </w:tcPr>
          <w:p w:rsidR="000E4E55" w:rsidRPr="001B362E" w:rsidRDefault="001B362E" w:rsidP="009428D8">
            <w:pPr>
              <w:rPr>
                <w:b/>
                <w:sz w:val="28"/>
              </w:rPr>
            </w:pPr>
            <w:r>
              <w:rPr>
                <w:b/>
                <w:sz w:val="28"/>
              </w:rPr>
              <w:lastRenderedPageBreak/>
              <w:t>5: Professional Learning</w:t>
            </w:r>
          </w:p>
        </w:tc>
        <w:tc>
          <w:tcPr>
            <w:tcW w:w="108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Beginning</w:t>
            </w:r>
          </w:p>
        </w:tc>
        <w:tc>
          <w:tcPr>
            <w:tcW w:w="126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Progressing</w:t>
            </w:r>
          </w:p>
        </w:tc>
        <w:tc>
          <w:tcPr>
            <w:tcW w:w="144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Pr>
                <w:rFonts w:cstheme="minorHAnsi"/>
                <w:b/>
                <w:bCs/>
                <w:color w:val="FFFFFF" w:themeColor="background1"/>
                <w:sz w:val="20"/>
                <w:szCs w:val="20"/>
              </w:rPr>
              <w:t>Implementing</w:t>
            </w:r>
            <w:r w:rsidRPr="007B6F55">
              <w:rPr>
                <w:rFonts w:cstheme="minorHAnsi"/>
                <w:b/>
                <w:bCs/>
                <w:color w:val="FFFFFF" w:themeColor="background1"/>
                <w:sz w:val="20"/>
                <w:szCs w:val="20"/>
              </w:rPr>
              <w:t>/Refining</w:t>
            </w:r>
          </w:p>
        </w:tc>
        <w:tc>
          <w:tcPr>
            <w:tcW w:w="126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Pr>
                <w:rFonts w:cstheme="minorHAnsi"/>
                <w:b/>
                <w:bCs/>
                <w:color w:val="FFFFFF" w:themeColor="background1"/>
                <w:sz w:val="20"/>
                <w:szCs w:val="20"/>
              </w:rPr>
              <w:t>Sustaining/Refining</w:t>
            </w:r>
          </w:p>
        </w:tc>
      </w:tr>
      <w:tr w:rsidR="000E4E55" w:rsidRPr="00024E92" w:rsidTr="00BC6F4D">
        <w:trPr>
          <w:trHeight w:val="539"/>
        </w:trPr>
        <w:tc>
          <w:tcPr>
            <w:tcW w:w="8100" w:type="dxa"/>
            <w:shd w:val="clear" w:color="auto" w:fill="auto"/>
          </w:tcPr>
          <w:p w:rsidR="000E4E55" w:rsidRPr="000351DC" w:rsidRDefault="000E4E55" w:rsidP="000351DC">
            <w:pPr>
              <w:pStyle w:val="ListParagraph"/>
              <w:numPr>
                <w:ilvl w:val="0"/>
                <w:numId w:val="6"/>
              </w:numPr>
              <w:rPr>
                <w:b/>
                <w:color w:val="FFFFFF" w:themeColor="background1"/>
              </w:rPr>
            </w:pPr>
            <w:r w:rsidRPr="000351DC">
              <w:rPr>
                <w:rFonts w:cstheme="minorHAnsi"/>
                <w:bCs/>
                <w:sz w:val="20"/>
                <w:szCs w:val="20"/>
              </w:rPr>
              <w:t xml:space="preserve">District Leadership Team collaborates with </w:t>
            </w:r>
            <w:r>
              <w:rPr>
                <w:rFonts w:cstheme="minorHAnsi"/>
                <w:bCs/>
                <w:sz w:val="20"/>
                <w:szCs w:val="20"/>
              </w:rPr>
              <w:t xml:space="preserve">KDE </w:t>
            </w:r>
            <w:r w:rsidRPr="000351DC">
              <w:rPr>
                <w:rFonts w:cstheme="minorHAnsi"/>
                <w:bCs/>
                <w:sz w:val="20"/>
                <w:szCs w:val="20"/>
              </w:rPr>
              <w:t>Effectiveness Coach to revise and enact an effective and sustainable professional learning plan to implement IT goals.</w:t>
            </w:r>
          </w:p>
        </w:tc>
        <w:tc>
          <w:tcPr>
            <w:tcW w:w="108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c>
          <w:tcPr>
            <w:tcW w:w="144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r>
      <w:tr w:rsidR="000E4E55" w:rsidRPr="00024E92" w:rsidTr="00BC6F4D">
        <w:trPr>
          <w:trHeight w:val="377"/>
        </w:trPr>
        <w:tc>
          <w:tcPr>
            <w:tcW w:w="8100" w:type="dxa"/>
            <w:shd w:val="clear" w:color="auto" w:fill="auto"/>
          </w:tcPr>
          <w:p w:rsidR="000E4E55" w:rsidRPr="000351DC" w:rsidRDefault="000E4E55" w:rsidP="00601397">
            <w:pPr>
              <w:pStyle w:val="ListParagraph"/>
              <w:numPr>
                <w:ilvl w:val="0"/>
                <w:numId w:val="6"/>
              </w:numPr>
              <w:rPr>
                <w:color w:val="FFFFFF" w:themeColor="background1"/>
                <w:sz w:val="20"/>
              </w:rPr>
            </w:pPr>
            <w:r w:rsidRPr="000351DC">
              <w:rPr>
                <w:sz w:val="20"/>
              </w:rPr>
              <w:t>Professional learning experienc</w:t>
            </w:r>
            <w:r>
              <w:rPr>
                <w:sz w:val="20"/>
              </w:rPr>
              <w:t>es are aligned with Kentucky’s P</w:t>
            </w:r>
            <w:r w:rsidRPr="000351DC">
              <w:rPr>
                <w:sz w:val="20"/>
              </w:rPr>
              <w:t xml:space="preserve">rofessional </w:t>
            </w:r>
            <w:r>
              <w:rPr>
                <w:sz w:val="20"/>
              </w:rPr>
              <w:t>Learning S</w:t>
            </w:r>
            <w:r w:rsidRPr="000351DC">
              <w:rPr>
                <w:sz w:val="20"/>
              </w:rPr>
              <w:t>tandards.</w:t>
            </w:r>
          </w:p>
        </w:tc>
        <w:tc>
          <w:tcPr>
            <w:tcW w:w="108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c>
          <w:tcPr>
            <w:tcW w:w="144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r>
      <w:tr w:rsidR="000E4E55" w:rsidRPr="00024E92" w:rsidTr="00BC6F4D">
        <w:trPr>
          <w:trHeight w:val="350"/>
        </w:trPr>
        <w:tc>
          <w:tcPr>
            <w:tcW w:w="8100" w:type="dxa"/>
            <w:shd w:val="clear" w:color="auto" w:fill="auto"/>
          </w:tcPr>
          <w:p w:rsidR="000E4E55" w:rsidRPr="000351DC" w:rsidRDefault="000E4E55" w:rsidP="000351DC">
            <w:pPr>
              <w:pStyle w:val="ListParagraph"/>
              <w:numPr>
                <w:ilvl w:val="0"/>
                <w:numId w:val="6"/>
              </w:numPr>
              <w:rPr>
                <w:sz w:val="20"/>
              </w:rPr>
            </w:pPr>
            <w:r w:rsidRPr="000351DC">
              <w:rPr>
                <w:sz w:val="20"/>
              </w:rPr>
              <w:t>Professional learning experiences develop key instructional capacities identified in the Framework for Teaching.</w:t>
            </w:r>
          </w:p>
        </w:tc>
        <w:tc>
          <w:tcPr>
            <w:tcW w:w="108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c>
          <w:tcPr>
            <w:tcW w:w="144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r>
      <w:tr w:rsidR="000E4E55" w:rsidRPr="00024E92" w:rsidTr="00BC6F4D">
        <w:trPr>
          <w:trHeight w:val="530"/>
        </w:trPr>
        <w:tc>
          <w:tcPr>
            <w:tcW w:w="8100" w:type="dxa"/>
            <w:shd w:val="clear" w:color="auto" w:fill="auto"/>
          </w:tcPr>
          <w:p w:rsidR="000E4E55" w:rsidRPr="000351DC" w:rsidRDefault="000E4E55" w:rsidP="000351DC">
            <w:pPr>
              <w:pStyle w:val="ListParagraph"/>
              <w:numPr>
                <w:ilvl w:val="0"/>
                <w:numId w:val="6"/>
              </w:numPr>
              <w:rPr>
                <w:sz w:val="20"/>
              </w:rPr>
            </w:pPr>
            <w:r w:rsidRPr="000351DC">
              <w:rPr>
                <w:sz w:val="20"/>
              </w:rPr>
              <w:t>District and school administration, including the Site-Based Councils, support IT goals and participate regularly in IT-related professional learning opportunities.</w:t>
            </w:r>
          </w:p>
        </w:tc>
        <w:tc>
          <w:tcPr>
            <w:tcW w:w="108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c>
          <w:tcPr>
            <w:tcW w:w="144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r>
      <w:tr w:rsidR="000E4E55" w:rsidRPr="00024E92" w:rsidTr="00BC6F4D">
        <w:trPr>
          <w:trHeight w:val="692"/>
        </w:trPr>
        <w:tc>
          <w:tcPr>
            <w:tcW w:w="8100" w:type="dxa"/>
            <w:shd w:val="clear" w:color="auto" w:fill="auto"/>
          </w:tcPr>
          <w:p w:rsidR="000E4E55" w:rsidRPr="000351DC" w:rsidRDefault="000E4E55" w:rsidP="000351DC">
            <w:pPr>
              <w:pStyle w:val="ListParagraph"/>
              <w:numPr>
                <w:ilvl w:val="0"/>
                <w:numId w:val="6"/>
              </w:numPr>
              <w:rPr>
                <w:color w:val="FFFFFF" w:themeColor="background1"/>
                <w:sz w:val="20"/>
              </w:rPr>
            </w:pPr>
            <w:r w:rsidRPr="000351DC">
              <w:rPr>
                <w:sz w:val="20"/>
              </w:rPr>
              <w:t>Professional learning system builds district, school, and teacher capacity, espec</w:t>
            </w:r>
            <w:r>
              <w:rPr>
                <w:sz w:val="20"/>
              </w:rPr>
              <w:t>ially in the following areas: K</w:t>
            </w:r>
            <w:r w:rsidRPr="000351DC">
              <w:rPr>
                <w:sz w:val="20"/>
              </w:rPr>
              <w:t>AS implementation through LDC/MDC, teacher leadership, next generation assessment literacy.</w:t>
            </w:r>
          </w:p>
        </w:tc>
        <w:tc>
          <w:tcPr>
            <w:tcW w:w="108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c>
          <w:tcPr>
            <w:tcW w:w="144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r>
      <w:tr w:rsidR="000E4E55" w:rsidRPr="00024E92" w:rsidTr="00BC6F4D">
        <w:trPr>
          <w:trHeight w:val="332"/>
        </w:trPr>
        <w:tc>
          <w:tcPr>
            <w:tcW w:w="8100" w:type="dxa"/>
            <w:shd w:val="clear" w:color="auto" w:fill="auto"/>
          </w:tcPr>
          <w:p w:rsidR="000E4E55" w:rsidRPr="000351DC" w:rsidRDefault="000E4E55" w:rsidP="009C1334">
            <w:pPr>
              <w:pStyle w:val="ListParagraph"/>
              <w:numPr>
                <w:ilvl w:val="0"/>
                <w:numId w:val="6"/>
              </w:numPr>
              <w:rPr>
                <w:sz w:val="20"/>
              </w:rPr>
            </w:pPr>
            <w:r>
              <w:rPr>
                <w:sz w:val="20"/>
              </w:rPr>
              <w:t>The district’s p</w:t>
            </w:r>
            <w:r w:rsidRPr="000351DC">
              <w:rPr>
                <w:sz w:val="20"/>
              </w:rPr>
              <w:t>rofessional learning plan is appropriately paced and balanced to support scaling of IT goals.</w:t>
            </w:r>
          </w:p>
        </w:tc>
        <w:tc>
          <w:tcPr>
            <w:tcW w:w="108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c>
          <w:tcPr>
            <w:tcW w:w="1440" w:type="dxa"/>
            <w:shd w:val="clear" w:color="auto" w:fill="auto"/>
          </w:tcPr>
          <w:p w:rsidR="000E4E55" w:rsidRPr="000B7F2D" w:rsidRDefault="000E4E55" w:rsidP="009428D8">
            <w:pPr>
              <w:rPr>
                <w:b/>
                <w:color w:val="FFFFFF" w:themeColor="background1"/>
              </w:rPr>
            </w:pPr>
          </w:p>
        </w:tc>
        <w:tc>
          <w:tcPr>
            <w:tcW w:w="1260" w:type="dxa"/>
            <w:shd w:val="clear" w:color="auto" w:fill="auto"/>
          </w:tcPr>
          <w:p w:rsidR="000E4E55" w:rsidRPr="000B7F2D" w:rsidRDefault="000E4E55" w:rsidP="009428D8">
            <w:pPr>
              <w:rPr>
                <w:b/>
                <w:color w:val="FFFFFF" w:themeColor="background1"/>
              </w:rPr>
            </w:pPr>
          </w:p>
        </w:tc>
      </w:tr>
      <w:tr w:rsidR="000E4E55" w:rsidRPr="00024E92" w:rsidTr="00BC6F4D">
        <w:trPr>
          <w:trHeight w:val="350"/>
        </w:trPr>
        <w:tc>
          <w:tcPr>
            <w:tcW w:w="8100" w:type="dxa"/>
            <w:shd w:val="clear" w:color="auto" w:fill="auto"/>
          </w:tcPr>
          <w:p w:rsidR="000E4E55" w:rsidRPr="00167C7C" w:rsidRDefault="000E4E55" w:rsidP="004B3A5B">
            <w:pPr>
              <w:pStyle w:val="ListParagraph"/>
              <w:numPr>
                <w:ilvl w:val="0"/>
                <w:numId w:val="6"/>
              </w:numPr>
              <w:rPr>
                <w:sz w:val="20"/>
              </w:rPr>
            </w:pPr>
            <w:r w:rsidRPr="0011574A">
              <w:rPr>
                <w:sz w:val="20"/>
              </w:rPr>
              <w:t xml:space="preserve">The district provides structures for collaboration and professional learning for teachers to master LDC/MDC instruction and assessment literacy. </w:t>
            </w:r>
          </w:p>
        </w:tc>
        <w:tc>
          <w:tcPr>
            <w:tcW w:w="1080" w:type="dxa"/>
            <w:shd w:val="clear" w:color="auto" w:fill="auto"/>
          </w:tcPr>
          <w:p w:rsidR="000E4E55" w:rsidRPr="008F0FD0" w:rsidRDefault="000E4E55" w:rsidP="009428D8">
            <w:pPr>
              <w:rPr>
                <w:b/>
              </w:rPr>
            </w:pPr>
          </w:p>
        </w:tc>
        <w:tc>
          <w:tcPr>
            <w:tcW w:w="1260" w:type="dxa"/>
            <w:shd w:val="clear" w:color="auto" w:fill="auto"/>
          </w:tcPr>
          <w:p w:rsidR="000E4E55" w:rsidRPr="008F0FD0" w:rsidRDefault="000E4E55" w:rsidP="009428D8">
            <w:pPr>
              <w:rPr>
                <w:b/>
              </w:rPr>
            </w:pPr>
          </w:p>
        </w:tc>
        <w:tc>
          <w:tcPr>
            <w:tcW w:w="1440" w:type="dxa"/>
            <w:shd w:val="clear" w:color="auto" w:fill="auto"/>
          </w:tcPr>
          <w:p w:rsidR="000E4E55" w:rsidRPr="008F0FD0" w:rsidRDefault="000E4E55" w:rsidP="009428D8">
            <w:pPr>
              <w:rPr>
                <w:b/>
              </w:rPr>
            </w:pPr>
          </w:p>
        </w:tc>
        <w:tc>
          <w:tcPr>
            <w:tcW w:w="1260" w:type="dxa"/>
            <w:shd w:val="clear" w:color="auto" w:fill="auto"/>
          </w:tcPr>
          <w:p w:rsidR="000E4E55" w:rsidRPr="008F0FD0" w:rsidRDefault="000E4E55" w:rsidP="009428D8">
            <w:pPr>
              <w:rPr>
                <w:b/>
              </w:rPr>
            </w:pPr>
          </w:p>
        </w:tc>
      </w:tr>
      <w:tr w:rsidR="00382F15" w:rsidRPr="00024E92" w:rsidTr="00BC6F4D">
        <w:trPr>
          <w:trHeight w:val="350"/>
        </w:trPr>
        <w:tc>
          <w:tcPr>
            <w:tcW w:w="8100" w:type="dxa"/>
            <w:tcBorders>
              <w:right w:val="single" w:sz="4" w:space="0" w:color="F2F2F2" w:themeColor="background1" w:themeShade="F2"/>
            </w:tcBorders>
            <w:shd w:val="clear" w:color="auto" w:fill="F2F2F2" w:themeFill="background1" w:themeFillShade="F2"/>
          </w:tcPr>
          <w:p w:rsidR="00382F15" w:rsidRDefault="00382F15" w:rsidP="00382F15">
            <w:pPr>
              <w:rPr>
                <w:b/>
              </w:rPr>
            </w:pPr>
            <w:r>
              <w:rPr>
                <w:b/>
              </w:rPr>
              <w:t>Comments/Next Steps:</w:t>
            </w:r>
          </w:p>
          <w:p w:rsidR="00BC6F4D" w:rsidRDefault="00BC6F4D" w:rsidP="00382F15">
            <w:pPr>
              <w:rPr>
                <w:b/>
                <w:sz w:val="144"/>
                <w:szCs w:val="144"/>
              </w:rPr>
            </w:pPr>
          </w:p>
          <w:p w:rsidR="001B362E" w:rsidRDefault="001B362E" w:rsidP="00382F15">
            <w:pPr>
              <w:rPr>
                <w:sz w:val="144"/>
                <w:szCs w:val="144"/>
              </w:rPr>
            </w:pPr>
          </w:p>
          <w:p w:rsidR="006438B8" w:rsidRPr="006438B8" w:rsidRDefault="006438B8" w:rsidP="00382F15">
            <w:pPr>
              <w:rPr>
                <w:sz w:val="48"/>
                <w:szCs w:val="52"/>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tcPr>
          <w:p w:rsidR="00382F15" w:rsidRPr="008F0FD0" w:rsidRDefault="00382F15" w:rsidP="009428D8">
            <w:pPr>
              <w:rPr>
                <w:b/>
              </w:rPr>
            </w:pPr>
          </w:p>
        </w:tc>
        <w:tc>
          <w:tcPr>
            <w:tcW w:w="1260" w:type="dxa"/>
            <w:tcBorders>
              <w:left w:val="single" w:sz="4" w:space="0" w:color="F2F2F2" w:themeColor="background1" w:themeShade="F2"/>
              <w:right w:val="single" w:sz="4" w:space="0" w:color="F2F2F2" w:themeColor="background1" w:themeShade="F2"/>
            </w:tcBorders>
            <w:shd w:val="clear" w:color="auto" w:fill="F2F2F2" w:themeFill="background1" w:themeFillShade="F2"/>
          </w:tcPr>
          <w:p w:rsidR="00382F15" w:rsidRPr="008F0FD0" w:rsidRDefault="00382F15" w:rsidP="009428D8">
            <w:pPr>
              <w:rPr>
                <w:b/>
              </w:rPr>
            </w:pPr>
          </w:p>
        </w:tc>
        <w:tc>
          <w:tcPr>
            <w:tcW w:w="1440" w:type="dxa"/>
            <w:tcBorders>
              <w:left w:val="single" w:sz="4" w:space="0" w:color="F2F2F2" w:themeColor="background1" w:themeShade="F2"/>
              <w:right w:val="single" w:sz="4" w:space="0" w:color="F2F2F2" w:themeColor="background1" w:themeShade="F2"/>
            </w:tcBorders>
            <w:shd w:val="clear" w:color="auto" w:fill="F2F2F2" w:themeFill="background1" w:themeFillShade="F2"/>
          </w:tcPr>
          <w:p w:rsidR="00382F15" w:rsidRPr="008F0FD0" w:rsidRDefault="00382F15" w:rsidP="009428D8">
            <w:pPr>
              <w:rPr>
                <w:b/>
              </w:rPr>
            </w:pPr>
          </w:p>
        </w:tc>
        <w:tc>
          <w:tcPr>
            <w:tcW w:w="1260" w:type="dxa"/>
            <w:tcBorders>
              <w:left w:val="single" w:sz="4" w:space="0" w:color="F2F2F2" w:themeColor="background1" w:themeShade="F2"/>
            </w:tcBorders>
            <w:shd w:val="clear" w:color="auto" w:fill="F2F2F2" w:themeFill="background1" w:themeFillShade="F2"/>
          </w:tcPr>
          <w:p w:rsidR="00382F15" w:rsidRPr="008F0FD0" w:rsidRDefault="00382F15" w:rsidP="009428D8">
            <w:pPr>
              <w:rPr>
                <w:b/>
              </w:rPr>
            </w:pPr>
          </w:p>
        </w:tc>
      </w:tr>
      <w:tr w:rsidR="000E4E55" w:rsidRPr="00024E92" w:rsidTr="00BC6F4D">
        <w:trPr>
          <w:trHeight w:val="503"/>
        </w:trPr>
        <w:tc>
          <w:tcPr>
            <w:tcW w:w="8100" w:type="dxa"/>
            <w:shd w:val="clear" w:color="auto" w:fill="F2DBDB" w:themeFill="accent2" w:themeFillTint="33"/>
          </w:tcPr>
          <w:p w:rsidR="000E4E55" w:rsidRPr="00382F15" w:rsidRDefault="000E4E55" w:rsidP="00D21A1D">
            <w:pPr>
              <w:rPr>
                <w:rFonts w:cstheme="minorHAnsi"/>
                <w:b/>
                <w:bCs/>
                <w:sz w:val="28"/>
              </w:rPr>
            </w:pPr>
            <w:r w:rsidRPr="00382F15">
              <w:rPr>
                <w:rFonts w:cstheme="minorHAnsi"/>
                <w:b/>
                <w:bCs/>
                <w:sz w:val="28"/>
              </w:rPr>
              <w:lastRenderedPageBreak/>
              <w:t>6: Instructional Transformation Grant Assurances/Implementation</w:t>
            </w:r>
          </w:p>
          <w:p w:rsidR="000E4E55" w:rsidRPr="00DB587B" w:rsidRDefault="000E4E55" w:rsidP="00D21A1D">
            <w:pPr>
              <w:rPr>
                <w:rFonts w:cstheme="minorHAnsi"/>
                <w:b/>
                <w:bCs/>
                <w:color w:val="FFFFFF" w:themeColor="background1"/>
              </w:rPr>
            </w:pPr>
          </w:p>
        </w:tc>
        <w:tc>
          <w:tcPr>
            <w:tcW w:w="108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Beginning</w:t>
            </w:r>
          </w:p>
        </w:tc>
        <w:tc>
          <w:tcPr>
            <w:tcW w:w="126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sidRPr="003265D6">
              <w:rPr>
                <w:rFonts w:cstheme="minorHAnsi"/>
                <w:b/>
                <w:bCs/>
                <w:color w:val="FFFFFF" w:themeColor="background1"/>
                <w:sz w:val="20"/>
                <w:szCs w:val="20"/>
              </w:rPr>
              <w:t>Progressing</w:t>
            </w:r>
          </w:p>
        </w:tc>
        <w:tc>
          <w:tcPr>
            <w:tcW w:w="144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Pr>
                <w:rFonts w:cstheme="minorHAnsi"/>
                <w:b/>
                <w:bCs/>
                <w:color w:val="FFFFFF" w:themeColor="background1"/>
                <w:sz w:val="20"/>
                <w:szCs w:val="20"/>
              </w:rPr>
              <w:t>Implementing</w:t>
            </w:r>
            <w:r w:rsidRPr="00AE706C">
              <w:rPr>
                <w:rFonts w:cstheme="minorHAnsi"/>
                <w:b/>
                <w:bCs/>
                <w:color w:val="FFFFFF" w:themeColor="background1"/>
                <w:sz w:val="20"/>
                <w:szCs w:val="20"/>
              </w:rPr>
              <w:t>/Refining</w:t>
            </w:r>
          </w:p>
        </w:tc>
        <w:tc>
          <w:tcPr>
            <w:tcW w:w="1260" w:type="dxa"/>
            <w:shd w:val="clear" w:color="auto" w:fill="808080" w:themeFill="background1" w:themeFillShade="80"/>
            <w:vAlign w:val="center"/>
          </w:tcPr>
          <w:p w:rsidR="000E4E55" w:rsidRPr="003265D6" w:rsidRDefault="000E4E55" w:rsidP="00382F15">
            <w:pPr>
              <w:jc w:val="center"/>
              <w:rPr>
                <w:rFonts w:cstheme="minorHAnsi"/>
                <w:b/>
                <w:bCs/>
                <w:color w:val="FFFFFF" w:themeColor="background1"/>
                <w:sz w:val="20"/>
                <w:szCs w:val="20"/>
              </w:rPr>
            </w:pPr>
            <w:r>
              <w:rPr>
                <w:rFonts w:cstheme="minorHAnsi"/>
                <w:b/>
                <w:bCs/>
                <w:color w:val="FFFFFF" w:themeColor="background1"/>
                <w:sz w:val="20"/>
                <w:szCs w:val="20"/>
              </w:rPr>
              <w:t>Sustaining/Refining</w:t>
            </w:r>
          </w:p>
        </w:tc>
      </w:tr>
      <w:tr w:rsidR="000E4E55" w:rsidRPr="00024E92" w:rsidTr="00BC6F4D">
        <w:trPr>
          <w:trHeight w:val="548"/>
        </w:trPr>
        <w:tc>
          <w:tcPr>
            <w:tcW w:w="8100" w:type="dxa"/>
          </w:tcPr>
          <w:p w:rsidR="000E4E55" w:rsidRPr="005910BC" w:rsidRDefault="000E4E55" w:rsidP="00EE319D">
            <w:pPr>
              <w:pStyle w:val="ListParagraph"/>
              <w:numPr>
                <w:ilvl w:val="0"/>
                <w:numId w:val="15"/>
              </w:numPr>
              <w:rPr>
                <w:rFonts w:cstheme="minorHAnsi"/>
                <w:bCs/>
                <w:sz w:val="20"/>
                <w:szCs w:val="20"/>
              </w:rPr>
            </w:pPr>
            <w:r w:rsidRPr="005910BC">
              <w:rPr>
                <w:rFonts w:cstheme="minorHAnsi"/>
                <w:bCs/>
                <w:sz w:val="20"/>
                <w:szCs w:val="20"/>
              </w:rPr>
              <w:t>The District Leadership Team (including principals, 7-10 teachers and the Effectiveness</w:t>
            </w:r>
            <w:r w:rsidR="00EE319D">
              <w:rPr>
                <w:rFonts w:cstheme="minorHAnsi"/>
                <w:bCs/>
                <w:sz w:val="20"/>
                <w:szCs w:val="20"/>
              </w:rPr>
              <w:t xml:space="preserve"> </w:t>
            </w:r>
            <w:r w:rsidRPr="005910BC">
              <w:rPr>
                <w:rFonts w:cstheme="minorHAnsi"/>
                <w:bCs/>
                <w:sz w:val="20"/>
                <w:szCs w:val="20"/>
              </w:rPr>
              <w:t>Coach) meets regularly to plan, design, implement, monitor, and evaluate district IT goals and progress on the IT assurances.</w:t>
            </w:r>
          </w:p>
        </w:tc>
        <w:tc>
          <w:tcPr>
            <w:tcW w:w="1080" w:type="dxa"/>
          </w:tcPr>
          <w:p w:rsidR="000E4E55" w:rsidRPr="00024E92" w:rsidRDefault="000E4E55" w:rsidP="009428D8">
            <w:pPr>
              <w:rPr>
                <w:rFonts w:cstheme="minorHAnsi"/>
                <w:bCs/>
              </w:rPr>
            </w:pPr>
          </w:p>
        </w:tc>
        <w:tc>
          <w:tcPr>
            <w:tcW w:w="1260" w:type="dxa"/>
          </w:tcPr>
          <w:p w:rsidR="000E4E55" w:rsidRPr="00024E92" w:rsidRDefault="000E4E55" w:rsidP="009428D8">
            <w:pPr>
              <w:rPr>
                <w:rFonts w:cstheme="minorHAnsi"/>
                <w:bCs/>
              </w:rPr>
            </w:pPr>
          </w:p>
        </w:tc>
        <w:tc>
          <w:tcPr>
            <w:tcW w:w="1440" w:type="dxa"/>
          </w:tcPr>
          <w:p w:rsidR="000E4E55" w:rsidRPr="00024E92" w:rsidRDefault="000E4E55" w:rsidP="009428D8">
            <w:pPr>
              <w:rPr>
                <w:rFonts w:cstheme="minorHAnsi"/>
                <w:bCs/>
              </w:rPr>
            </w:pPr>
          </w:p>
        </w:tc>
        <w:tc>
          <w:tcPr>
            <w:tcW w:w="1260" w:type="dxa"/>
          </w:tcPr>
          <w:p w:rsidR="000E4E55" w:rsidRPr="00024E92" w:rsidRDefault="000E4E55" w:rsidP="009428D8">
            <w:pPr>
              <w:rPr>
                <w:rFonts w:cstheme="minorHAnsi"/>
                <w:bCs/>
              </w:rPr>
            </w:pPr>
          </w:p>
        </w:tc>
      </w:tr>
      <w:tr w:rsidR="000E4E55" w:rsidRPr="00024E92" w:rsidTr="00BC6F4D">
        <w:trPr>
          <w:trHeight w:val="350"/>
        </w:trPr>
        <w:tc>
          <w:tcPr>
            <w:tcW w:w="8100" w:type="dxa"/>
          </w:tcPr>
          <w:p w:rsidR="000E4E55" w:rsidRPr="00D81A6D" w:rsidRDefault="000E4E55" w:rsidP="00EE319D">
            <w:pPr>
              <w:pStyle w:val="ListParagraph"/>
              <w:numPr>
                <w:ilvl w:val="0"/>
                <w:numId w:val="15"/>
              </w:numPr>
              <w:tabs>
                <w:tab w:val="left" w:pos="289"/>
                <w:tab w:val="left" w:pos="1039"/>
              </w:tabs>
              <w:rPr>
                <w:rFonts w:cstheme="minorHAnsi"/>
                <w:bCs/>
                <w:sz w:val="20"/>
                <w:szCs w:val="20"/>
              </w:rPr>
            </w:pPr>
            <w:r>
              <w:rPr>
                <w:rFonts w:cstheme="minorHAnsi"/>
                <w:bCs/>
                <w:sz w:val="20"/>
                <w:szCs w:val="20"/>
              </w:rPr>
              <w:t xml:space="preserve"> </w:t>
            </w:r>
            <w:r w:rsidRPr="00D81A6D">
              <w:rPr>
                <w:rFonts w:cstheme="minorHAnsi"/>
                <w:bCs/>
                <w:sz w:val="20"/>
                <w:szCs w:val="20"/>
              </w:rPr>
              <w:t>The district</w:t>
            </w:r>
            <w:r>
              <w:rPr>
                <w:rFonts w:cstheme="minorHAnsi"/>
                <w:bCs/>
                <w:sz w:val="20"/>
                <w:szCs w:val="20"/>
              </w:rPr>
              <w:t xml:space="preserve"> </w:t>
            </w:r>
            <w:r w:rsidRPr="00040DCC">
              <w:rPr>
                <w:rFonts w:cstheme="minorHAnsi"/>
                <w:bCs/>
                <w:sz w:val="20"/>
                <w:szCs w:val="20"/>
              </w:rPr>
              <w:t>shares successful implementation processes and systems that support high</w:t>
            </w:r>
            <w:r w:rsidR="00EE319D">
              <w:rPr>
                <w:rFonts w:cstheme="minorHAnsi"/>
                <w:bCs/>
                <w:sz w:val="20"/>
                <w:szCs w:val="20"/>
              </w:rPr>
              <w:t xml:space="preserve"> </w:t>
            </w:r>
            <w:r w:rsidRPr="00040DCC">
              <w:rPr>
                <w:rFonts w:cstheme="minorHAnsi"/>
                <w:bCs/>
                <w:sz w:val="20"/>
                <w:szCs w:val="20"/>
              </w:rPr>
              <w:t xml:space="preserve">quality implementation of KCAS through LDC or MDC, assessment literacy or teacher leadership.  </w:t>
            </w:r>
          </w:p>
        </w:tc>
        <w:tc>
          <w:tcPr>
            <w:tcW w:w="1080" w:type="dxa"/>
          </w:tcPr>
          <w:p w:rsidR="000E4E55" w:rsidRPr="00024E92" w:rsidRDefault="000E4E55" w:rsidP="009428D8">
            <w:pPr>
              <w:rPr>
                <w:rFonts w:cstheme="minorHAnsi"/>
                <w:bCs/>
              </w:rPr>
            </w:pPr>
          </w:p>
        </w:tc>
        <w:tc>
          <w:tcPr>
            <w:tcW w:w="1260" w:type="dxa"/>
          </w:tcPr>
          <w:p w:rsidR="000E4E55" w:rsidRPr="00024E92" w:rsidRDefault="000E4E55" w:rsidP="009428D8">
            <w:pPr>
              <w:rPr>
                <w:rFonts w:cstheme="minorHAnsi"/>
                <w:bCs/>
              </w:rPr>
            </w:pPr>
          </w:p>
        </w:tc>
        <w:tc>
          <w:tcPr>
            <w:tcW w:w="1440" w:type="dxa"/>
          </w:tcPr>
          <w:p w:rsidR="000E4E55" w:rsidRPr="00024E92" w:rsidRDefault="000E4E55" w:rsidP="009428D8">
            <w:pPr>
              <w:rPr>
                <w:rFonts w:cstheme="minorHAnsi"/>
                <w:bCs/>
              </w:rPr>
            </w:pPr>
          </w:p>
        </w:tc>
        <w:tc>
          <w:tcPr>
            <w:tcW w:w="1260" w:type="dxa"/>
          </w:tcPr>
          <w:p w:rsidR="000E4E55" w:rsidRPr="00024E92" w:rsidRDefault="000E4E55" w:rsidP="009428D8">
            <w:pPr>
              <w:rPr>
                <w:rFonts w:cstheme="minorHAnsi"/>
                <w:bCs/>
              </w:rPr>
            </w:pPr>
          </w:p>
        </w:tc>
      </w:tr>
      <w:tr w:rsidR="000E4E55" w:rsidRPr="00024E92" w:rsidTr="00BC6F4D">
        <w:trPr>
          <w:trHeight w:val="710"/>
        </w:trPr>
        <w:tc>
          <w:tcPr>
            <w:tcW w:w="8100" w:type="dxa"/>
          </w:tcPr>
          <w:p w:rsidR="000E4E55" w:rsidRPr="00D81A6D" w:rsidRDefault="000E4E55" w:rsidP="0076384E">
            <w:pPr>
              <w:pStyle w:val="ListParagraph"/>
              <w:numPr>
                <w:ilvl w:val="0"/>
                <w:numId w:val="15"/>
              </w:numPr>
              <w:rPr>
                <w:rFonts w:cstheme="minorHAnsi"/>
                <w:bCs/>
                <w:sz w:val="20"/>
                <w:szCs w:val="20"/>
              </w:rPr>
            </w:pPr>
            <w:r>
              <w:rPr>
                <w:rFonts w:cstheme="minorHAnsi"/>
                <w:bCs/>
                <w:sz w:val="20"/>
                <w:szCs w:val="20"/>
              </w:rPr>
              <w:t xml:space="preserve"> </w:t>
            </w:r>
            <w:r w:rsidRPr="00D81A6D">
              <w:rPr>
                <w:rFonts w:cstheme="minorHAnsi"/>
                <w:bCs/>
                <w:sz w:val="20"/>
                <w:szCs w:val="20"/>
              </w:rPr>
              <w:t xml:space="preserve">A designated point of contact (POC) serves as a liaison with the </w:t>
            </w:r>
            <w:r>
              <w:rPr>
                <w:rFonts w:cstheme="minorHAnsi"/>
                <w:bCs/>
                <w:sz w:val="20"/>
                <w:szCs w:val="20"/>
              </w:rPr>
              <w:t>KDE E</w:t>
            </w:r>
            <w:r w:rsidRPr="00D81A6D">
              <w:rPr>
                <w:rFonts w:cstheme="minorHAnsi"/>
                <w:bCs/>
                <w:sz w:val="20"/>
                <w:szCs w:val="20"/>
              </w:rPr>
              <w:t xml:space="preserve">ffectiveness </w:t>
            </w:r>
            <w:r>
              <w:rPr>
                <w:rFonts w:cstheme="minorHAnsi"/>
                <w:bCs/>
                <w:sz w:val="20"/>
                <w:szCs w:val="20"/>
              </w:rPr>
              <w:t>Coach</w:t>
            </w:r>
            <w:r w:rsidRPr="00873E3E">
              <w:rPr>
                <w:rFonts w:cstheme="minorHAnsi"/>
                <w:bCs/>
                <w:strike/>
                <w:sz w:val="20"/>
                <w:szCs w:val="20"/>
              </w:rPr>
              <w:t xml:space="preserve"> </w:t>
            </w:r>
            <w:r w:rsidRPr="00D81A6D">
              <w:rPr>
                <w:rFonts w:cstheme="minorHAnsi"/>
                <w:bCs/>
                <w:sz w:val="20"/>
                <w:szCs w:val="20"/>
              </w:rPr>
              <w:t>to oversee implementation of grant objectives and outcomes for student learning.</w:t>
            </w:r>
          </w:p>
        </w:tc>
        <w:tc>
          <w:tcPr>
            <w:tcW w:w="1080" w:type="dxa"/>
          </w:tcPr>
          <w:p w:rsidR="000E4E55" w:rsidRPr="00C742BE" w:rsidRDefault="000E4E55" w:rsidP="009428D8">
            <w:pPr>
              <w:rPr>
                <w:rFonts w:cstheme="minorHAnsi"/>
              </w:rPr>
            </w:pPr>
          </w:p>
        </w:tc>
        <w:tc>
          <w:tcPr>
            <w:tcW w:w="1260" w:type="dxa"/>
          </w:tcPr>
          <w:p w:rsidR="000E4E55" w:rsidRPr="00C742BE" w:rsidRDefault="000E4E55" w:rsidP="009428D8">
            <w:pPr>
              <w:rPr>
                <w:rFonts w:cstheme="minorHAnsi"/>
              </w:rPr>
            </w:pPr>
          </w:p>
        </w:tc>
        <w:tc>
          <w:tcPr>
            <w:tcW w:w="1440" w:type="dxa"/>
          </w:tcPr>
          <w:p w:rsidR="000E4E55" w:rsidRPr="00C742BE" w:rsidRDefault="000E4E55" w:rsidP="009428D8">
            <w:pPr>
              <w:rPr>
                <w:rFonts w:cstheme="minorHAnsi"/>
              </w:rPr>
            </w:pPr>
          </w:p>
        </w:tc>
        <w:tc>
          <w:tcPr>
            <w:tcW w:w="1260" w:type="dxa"/>
          </w:tcPr>
          <w:p w:rsidR="000E4E55" w:rsidRPr="00C742BE" w:rsidRDefault="000E4E55" w:rsidP="009428D8">
            <w:pPr>
              <w:rPr>
                <w:rFonts w:cstheme="minorHAnsi"/>
              </w:rPr>
            </w:pPr>
          </w:p>
        </w:tc>
      </w:tr>
      <w:tr w:rsidR="000E4E55" w:rsidRPr="00024E92" w:rsidTr="00BC6F4D">
        <w:trPr>
          <w:trHeight w:val="800"/>
        </w:trPr>
        <w:tc>
          <w:tcPr>
            <w:tcW w:w="8100" w:type="dxa"/>
          </w:tcPr>
          <w:p w:rsidR="000E4E55" w:rsidRPr="00D81A6D" w:rsidRDefault="000E4E55" w:rsidP="00614216">
            <w:pPr>
              <w:pStyle w:val="ListParagraph"/>
              <w:numPr>
                <w:ilvl w:val="0"/>
                <w:numId w:val="15"/>
              </w:numPr>
              <w:rPr>
                <w:rFonts w:cstheme="minorHAnsi"/>
                <w:bCs/>
                <w:sz w:val="20"/>
                <w:szCs w:val="20"/>
              </w:rPr>
            </w:pPr>
            <w:r w:rsidRPr="00D81A6D">
              <w:rPr>
                <w:rFonts w:cstheme="minorHAnsi"/>
                <w:bCs/>
                <w:sz w:val="20"/>
                <w:szCs w:val="20"/>
              </w:rPr>
              <w:t>The D</w:t>
            </w:r>
            <w:r>
              <w:rPr>
                <w:rFonts w:cstheme="minorHAnsi"/>
                <w:bCs/>
                <w:sz w:val="20"/>
                <w:szCs w:val="20"/>
              </w:rPr>
              <w:t xml:space="preserve">istrict </w:t>
            </w:r>
            <w:r w:rsidRPr="00D81A6D">
              <w:rPr>
                <w:rFonts w:cstheme="minorHAnsi"/>
                <w:bCs/>
                <w:sz w:val="20"/>
                <w:szCs w:val="20"/>
              </w:rPr>
              <w:t>L</w:t>
            </w:r>
            <w:r>
              <w:rPr>
                <w:rFonts w:cstheme="minorHAnsi"/>
                <w:bCs/>
                <w:sz w:val="20"/>
                <w:szCs w:val="20"/>
              </w:rPr>
              <w:t xml:space="preserve">eadership </w:t>
            </w:r>
            <w:r w:rsidRPr="00D81A6D">
              <w:rPr>
                <w:rFonts w:cstheme="minorHAnsi"/>
                <w:bCs/>
                <w:sz w:val="20"/>
                <w:szCs w:val="20"/>
              </w:rPr>
              <w:t>T</w:t>
            </w:r>
            <w:r>
              <w:rPr>
                <w:rFonts w:cstheme="minorHAnsi"/>
                <w:bCs/>
                <w:sz w:val="20"/>
                <w:szCs w:val="20"/>
              </w:rPr>
              <w:t>eam</w:t>
            </w:r>
            <w:r w:rsidRPr="00D81A6D">
              <w:rPr>
                <w:rFonts w:cstheme="minorHAnsi"/>
                <w:bCs/>
                <w:sz w:val="20"/>
                <w:szCs w:val="20"/>
              </w:rPr>
              <w:t xml:space="preserve"> ensures that district funds and resources are aligned to support, scale, and sustain IT goals within the district.</w:t>
            </w:r>
          </w:p>
        </w:tc>
        <w:tc>
          <w:tcPr>
            <w:tcW w:w="1080" w:type="dxa"/>
          </w:tcPr>
          <w:p w:rsidR="000E4E55" w:rsidRPr="00024E92" w:rsidRDefault="000E4E55" w:rsidP="009428D8">
            <w:pPr>
              <w:rPr>
                <w:rFonts w:cstheme="minorHAnsi"/>
                <w:bCs/>
              </w:rPr>
            </w:pPr>
          </w:p>
        </w:tc>
        <w:tc>
          <w:tcPr>
            <w:tcW w:w="1260" w:type="dxa"/>
          </w:tcPr>
          <w:p w:rsidR="000E4E55" w:rsidRPr="00024E92" w:rsidRDefault="000E4E55" w:rsidP="009428D8">
            <w:pPr>
              <w:rPr>
                <w:rFonts w:cstheme="minorHAnsi"/>
                <w:bCs/>
              </w:rPr>
            </w:pPr>
          </w:p>
        </w:tc>
        <w:tc>
          <w:tcPr>
            <w:tcW w:w="1440" w:type="dxa"/>
          </w:tcPr>
          <w:p w:rsidR="000E4E55" w:rsidRPr="00024E92" w:rsidRDefault="000E4E55" w:rsidP="009428D8">
            <w:pPr>
              <w:rPr>
                <w:rFonts w:cstheme="minorHAnsi"/>
                <w:bCs/>
              </w:rPr>
            </w:pPr>
          </w:p>
        </w:tc>
        <w:tc>
          <w:tcPr>
            <w:tcW w:w="1260" w:type="dxa"/>
          </w:tcPr>
          <w:p w:rsidR="000E4E55" w:rsidRPr="00024E92" w:rsidRDefault="000E4E55" w:rsidP="009428D8">
            <w:pPr>
              <w:rPr>
                <w:rFonts w:cstheme="minorHAnsi"/>
                <w:bCs/>
              </w:rPr>
            </w:pPr>
          </w:p>
        </w:tc>
      </w:tr>
      <w:tr w:rsidR="000E4E55" w:rsidRPr="00024E92" w:rsidTr="00BC6F4D">
        <w:trPr>
          <w:trHeight w:val="350"/>
        </w:trPr>
        <w:tc>
          <w:tcPr>
            <w:tcW w:w="8100" w:type="dxa"/>
            <w:tcBorders>
              <w:bottom w:val="single" w:sz="4" w:space="0" w:color="auto"/>
            </w:tcBorders>
          </w:tcPr>
          <w:p w:rsidR="000E4E55" w:rsidRPr="00D81A6D" w:rsidRDefault="000E4E55" w:rsidP="00EE319D">
            <w:pPr>
              <w:pStyle w:val="ListParagraph"/>
              <w:numPr>
                <w:ilvl w:val="0"/>
                <w:numId w:val="15"/>
              </w:numPr>
              <w:rPr>
                <w:rFonts w:cstheme="minorHAnsi"/>
                <w:sz w:val="20"/>
                <w:szCs w:val="20"/>
              </w:rPr>
            </w:pPr>
            <w:r w:rsidRPr="00000362">
              <w:rPr>
                <w:rFonts w:cstheme="minorHAnsi"/>
                <w:bCs/>
                <w:sz w:val="20"/>
                <w:szCs w:val="20"/>
              </w:rPr>
              <w:t>The district responds to information requests with timely, accurate and complete data,</w:t>
            </w:r>
            <w:r>
              <w:rPr>
                <w:rFonts w:cstheme="minorHAnsi"/>
                <w:bCs/>
                <w:sz w:val="20"/>
                <w:szCs w:val="20"/>
              </w:rPr>
              <w:t xml:space="preserve"> </w:t>
            </w:r>
            <w:r w:rsidRPr="00000362">
              <w:rPr>
                <w:rFonts w:cstheme="minorHAnsi"/>
                <w:bCs/>
                <w:sz w:val="20"/>
                <w:szCs w:val="20"/>
              </w:rPr>
              <w:t xml:space="preserve">including requests from KDE and independent researcher </w:t>
            </w:r>
            <w:r>
              <w:rPr>
                <w:rFonts w:cstheme="minorHAnsi"/>
                <w:bCs/>
                <w:sz w:val="20"/>
                <w:szCs w:val="20"/>
              </w:rPr>
              <w:t>associated with the IT grant.</w:t>
            </w:r>
          </w:p>
        </w:tc>
        <w:tc>
          <w:tcPr>
            <w:tcW w:w="1080" w:type="dxa"/>
            <w:tcBorders>
              <w:bottom w:val="single" w:sz="4" w:space="0" w:color="auto"/>
            </w:tcBorders>
          </w:tcPr>
          <w:p w:rsidR="000E4E55" w:rsidRPr="00024E92" w:rsidRDefault="000E4E55" w:rsidP="009428D8">
            <w:pPr>
              <w:rPr>
                <w:rFonts w:cstheme="minorHAnsi"/>
              </w:rPr>
            </w:pPr>
          </w:p>
        </w:tc>
        <w:tc>
          <w:tcPr>
            <w:tcW w:w="1260" w:type="dxa"/>
            <w:tcBorders>
              <w:bottom w:val="single" w:sz="4" w:space="0" w:color="auto"/>
            </w:tcBorders>
          </w:tcPr>
          <w:p w:rsidR="000E4E55" w:rsidRPr="00024E92" w:rsidRDefault="000E4E55" w:rsidP="009428D8">
            <w:pPr>
              <w:rPr>
                <w:rFonts w:cstheme="minorHAnsi"/>
              </w:rPr>
            </w:pPr>
          </w:p>
        </w:tc>
        <w:tc>
          <w:tcPr>
            <w:tcW w:w="1440" w:type="dxa"/>
            <w:tcBorders>
              <w:bottom w:val="single" w:sz="4" w:space="0" w:color="auto"/>
            </w:tcBorders>
          </w:tcPr>
          <w:p w:rsidR="000E4E55" w:rsidRPr="00024E92" w:rsidRDefault="000E4E55" w:rsidP="009428D8">
            <w:pPr>
              <w:rPr>
                <w:rFonts w:cstheme="minorHAnsi"/>
              </w:rPr>
            </w:pPr>
          </w:p>
        </w:tc>
        <w:tc>
          <w:tcPr>
            <w:tcW w:w="1260" w:type="dxa"/>
            <w:tcBorders>
              <w:bottom w:val="single" w:sz="4" w:space="0" w:color="auto"/>
            </w:tcBorders>
          </w:tcPr>
          <w:p w:rsidR="000E4E55" w:rsidRPr="00024E92" w:rsidRDefault="000E4E55" w:rsidP="009428D8">
            <w:pPr>
              <w:rPr>
                <w:rFonts w:cstheme="minorHAnsi"/>
              </w:rPr>
            </w:pPr>
          </w:p>
        </w:tc>
      </w:tr>
      <w:tr w:rsidR="000E4E55" w:rsidRPr="00024E92" w:rsidTr="00BC6F4D">
        <w:trPr>
          <w:trHeight w:val="620"/>
        </w:trPr>
        <w:tc>
          <w:tcPr>
            <w:tcW w:w="8100" w:type="dxa"/>
            <w:tcBorders>
              <w:bottom w:val="single" w:sz="4" w:space="0" w:color="auto"/>
            </w:tcBorders>
          </w:tcPr>
          <w:p w:rsidR="000E4E55" w:rsidRPr="00644EE8" w:rsidRDefault="000E4E55" w:rsidP="00644EE8">
            <w:pPr>
              <w:pStyle w:val="ListParagraph"/>
              <w:numPr>
                <w:ilvl w:val="0"/>
                <w:numId w:val="15"/>
              </w:numPr>
              <w:rPr>
                <w:rFonts w:cstheme="minorHAnsi"/>
                <w:bCs/>
                <w:sz w:val="20"/>
                <w:szCs w:val="20"/>
              </w:rPr>
            </w:pPr>
            <w:r w:rsidRPr="00644EE8">
              <w:rPr>
                <w:rFonts w:cstheme="minorHAnsi"/>
                <w:bCs/>
                <w:sz w:val="20"/>
                <w:szCs w:val="20"/>
              </w:rPr>
              <w:t>When requested, the district participates fully with external partners (such as institutions of higher education, Kentucky Association of School Councils, Kentucky Leadership Academy, Collaborative for Teaching and Learning) who support the IT initiative.</w:t>
            </w:r>
          </w:p>
        </w:tc>
        <w:tc>
          <w:tcPr>
            <w:tcW w:w="1080" w:type="dxa"/>
            <w:tcBorders>
              <w:bottom w:val="single" w:sz="4" w:space="0" w:color="auto"/>
            </w:tcBorders>
          </w:tcPr>
          <w:p w:rsidR="000E4E55" w:rsidRPr="00024E92" w:rsidRDefault="000E4E55" w:rsidP="009428D8">
            <w:pPr>
              <w:rPr>
                <w:rFonts w:cstheme="minorHAnsi"/>
              </w:rPr>
            </w:pPr>
          </w:p>
        </w:tc>
        <w:tc>
          <w:tcPr>
            <w:tcW w:w="1260" w:type="dxa"/>
            <w:tcBorders>
              <w:bottom w:val="single" w:sz="4" w:space="0" w:color="auto"/>
            </w:tcBorders>
          </w:tcPr>
          <w:p w:rsidR="000E4E55" w:rsidRPr="00024E92" w:rsidRDefault="000E4E55" w:rsidP="009428D8">
            <w:pPr>
              <w:rPr>
                <w:rFonts w:cstheme="minorHAnsi"/>
              </w:rPr>
            </w:pPr>
          </w:p>
        </w:tc>
        <w:tc>
          <w:tcPr>
            <w:tcW w:w="1440" w:type="dxa"/>
            <w:tcBorders>
              <w:bottom w:val="single" w:sz="4" w:space="0" w:color="auto"/>
            </w:tcBorders>
          </w:tcPr>
          <w:p w:rsidR="000E4E55" w:rsidRPr="00024E92" w:rsidRDefault="000E4E55" w:rsidP="009428D8">
            <w:pPr>
              <w:rPr>
                <w:rFonts w:cstheme="minorHAnsi"/>
              </w:rPr>
            </w:pPr>
          </w:p>
        </w:tc>
        <w:tc>
          <w:tcPr>
            <w:tcW w:w="1260" w:type="dxa"/>
            <w:tcBorders>
              <w:bottom w:val="single" w:sz="4" w:space="0" w:color="auto"/>
            </w:tcBorders>
          </w:tcPr>
          <w:p w:rsidR="000E4E55" w:rsidRPr="00024E92" w:rsidRDefault="000E4E55" w:rsidP="009428D8">
            <w:pPr>
              <w:rPr>
                <w:rFonts w:cstheme="minorHAnsi"/>
              </w:rPr>
            </w:pPr>
          </w:p>
        </w:tc>
      </w:tr>
      <w:tr w:rsidR="00382F15" w:rsidRPr="00024E92" w:rsidTr="00BC6F4D">
        <w:trPr>
          <w:trHeight w:val="620"/>
        </w:trPr>
        <w:tc>
          <w:tcPr>
            <w:tcW w:w="8100" w:type="dxa"/>
            <w:tcBorders>
              <w:bottom w:val="single" w:sz="4" w:space="0" w:color="auto"/>
              <w:right w:val="single" w:sz="4" w:space="0" w:color="F2DBDB" w:themeColor="accent2" w:themeTint="33"/>
            </w:tcBorders>
            <w:shd w:val="clear" w:color="auto" w:fill="F2DBDB" w:themeFill="accent2" w:themeFillTint="33"/>
          </w:tcPr>
          <w:p w:rsidR="00382F15" w:rsidRDefault="00382F15" w:rsidP="00382F15">
            <w:pPr>
              <w:rPr>
                <w:b/>
              </w:rPr>
            </w:pPr>
            <w:r>
              <w:rPr>
                <w:b/>
              </w:rPr>
              <w:t>Comments/Next Steps:</w:t>
            </w:r>
          </w:p>
          <w:p w:rsidR="00BC6F4D" w:rsidRDefault="00BC6F4D" w:rsidP="00382F15">
            <w:pPr>
              <w:rPr>
                <w:rFonts w:cstheme="minorHAnsi"/>
                <w:bCs/>
                <w:sz w:val="144"/>
                <w:szCs w:val="144"/>
              </w:rPr>
            </w:pPr>
          </w:p>
          <w:p w:rsidR="006438B8" w:rsidRPr="001B362E" w:rsidRDefault="006438B8" w:rsidP="00382F15">
            <w:pPr>
              <w:rPr>
                <w:rFonts w:cstheme="minorHAnsi"/>
                <w:bCs/>
                <w:sz w:val="144"/>
                <w:szCs w:val="144"/>
              </w:rPr>
            </w:pPr>
            <w:bookmarkStart w:id="0" w:name="_GoBack"/>
            <w:bookmarkEnd w:id="0"/>
          </w:p>
        </w:tc>
        <w:tc>
          <w:tcPr>
            <w:tcW w:w="1080" w:type="dxa"/>
            <w:tcBorders>
              <w:left w:val="single" w:sz="4" w:space="0" w:color="F2DBDB" w:themeColor="accent2" w:themeTint="33"/>
              <w:bottom w:val="single" w:sz="4" w:space="0" w:color="auto"/>
              <w:right w:val="single" w:sz="4" w:space="0" w:color="F2DBDB" w:themeColor="accent2" w:themeTint="33"/>
            </w:tcBorders>
            <w:shd w:val="clear" w:color="auto" w:fill="F2DBDB" w:themeFill="accent2" w:themeFillTint="33"/>
          </w:tcPr>
          <w:p w:rsidR="00382F15" w:rsidRPr="00024E92" w:rsidRDefault="00382F15" w:rsidP="009428D8">
            <w:pPr>
              <w:rPr>
                <w:rFonts w:cstheme="minorHAnsi"/>
              </w:rPr>
            </w:pPr>
          </w:p>
        </w:tc>
        <w:tc>
          <w:tcPr>
            <w:tcW w:w="1260" w:type="dxa"/>
            <w:tcBorders>
              <w:left w:val="single" w:sz="4" w:space="0" w:color="F2DBDB" w:themeColor="accent2" w:themeTint="33"/>
              <w:bottom w:val="single" w:sz="4" w:space="0" w:color="auto"/>
              <w:right w:val="single" w:sz="4" w:space="0" w:color="F2DBDB" w:themeColor="accent2" w:themeTint="33"/>
            </w:tcBorders>
            <w:shd w:val="clear" w:color="auto" w:fill="F2DBDB" w:themeFill="accent2" w:themeFillTint="33"/>
          </w:tcPr>
          <w:p w:rsidR="00382F15" w:rsidRPr="00024E92" w:rsidRDefault="00382F15" w:rsidP="009428D8">
            <w:pPr>
              <w:rPr>
                <w:rFonts w:cstheme="minorHAnsi"/>
              </w:rPr>
            </w:pPr>
          </w:p>
        </w:tc>
        <w:tc>
          <w:tcPr>
            <w:tcW w:w="1440" w:type="dxa"/>
            <w:tcBorders>
              <w:left w:val="single" w:sz="4" w:space="0" w:color="F2DBDB" w:themeColor="accent2" w:themeTint="33"/>
              <w:bottom w:val="single" w:sz="4" w:space="0" w:color="auto"/>
              <w:right w:val="single" w:sz="4" w:space="0" w:color="F2DBDB" w:themeColor="accent2" w:themeTint="33"/>
            </w:tcBorders>
            <w:shd w:val="clear" w:color="auto" w:fill="F2DBDB" w:themeFill="accent2" w:themeFillTint="33"/>
          </w:tcPr>
          <w:p w:rsidR="00382F15" w:rsidRPr="00024E92" w:rsidRDefault="00382F15" w:rsidP="009428D8">
            <w:pPr>
              <w:rPr>
                <w:rFonts w:cstheme="minorHAnsi"/>
              </w:rPr>
            </w:pPr>
          </w:p>
        </w:tc>
        <w:tc>
          <w:tcPr>
            <w:tcW w:w="1260" w:type="dxa"/>
            <w:tcBorders>
              <w:left w:val="single" w:sz="4" w:space="0" w:color="F2DBDB" w:themeColor="accent2" w:themeTint="33"/>
              <w:bottom w:val="single" w:sz="4" w:space="0" w:color="auto"/>
            </w:tcBorders>
            <w:shd w:val="clear" w:color="auto" w:fill="F2DBDB" w:themeFill="accent2" w:themeFillTint="33"/>
          </w:tcPr>
          <w:p w:rsidR="00382F15" w:rsidRPr="00024E92" w:rsidRDefault="00382F15" w:rsidP="009428D8">
            <w:pPr>
              <w:rPr>
                <w:rFonts w:cstheme="minorHAnsi"/>
              </w:rPr>
            </w:pPr>
          </w:p>
        </w:tc>
      </w:tr>
    </w:tbl>
    <w:p w:rsidR="00AB2064" w:rsidRDefault="00AB2064" w:rsidP="00BC6F4D"/>
    <w:sectPr w:rsidR="00AB2064" w:rsidSect="00356875">
      <w:headerReference w:type="default" r:id="rId14"/>
      <w:footerReference w:type="default" r:id="rId15"/>
      <w:pgSz w:w="15840" w:h="12240" w:orient="landscape"/>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9A" w:rsidRDefault="0003199A" w:rsidP="00AA068C">
      <w:pPr>
        <w:spacing w:after="0" w:line="240" w:lineRule="auto"/>
      </w:pPr>
      <w:r>
        <w:separator/>
      </w:r>
    </w:p>
  </w:endnote>
  <w:endnote w:type="continuationSeparator" w:id="0">
    <w:p w:rsidR="0003199A" w:rsidRDefault="0003199A" w:rsidP="00AA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B1" w:rsidRDefault="008B26B1">
    <w:pPr>
      <w:pStyle w:val="Footer"/>
    </w:pPr>
    <w:r>
      <w:rPr>
        <w:noProof/>
      </w:rPr>
      <w:drawing>
        <wp:inline distT="0" distB="0" distL="0" distR="0" wp14:anchorId="32F6C87F" wp14:editId="40768F98">
          <wp:extent cx="684795" cy="684795"/>
          <wp:effectExtent l="0" t="0" r="1270" b="1270"/>
          <wp:docPr id="3" name="Picture 3"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DE logo.jpg"/>
                  <pic:cNvPicPr/>
                </pic:nvPicPr>
                <pic:blipFill>
                  <a:blip r:embed="rId1">
                    <a:extLst>
                      <a:ext uri="{28A0092B-C50C-407E-A947-70E740481C1C}">
                        <a14:useLocalDpi xmlns:a14="http://schemas.microsoft.com/office/drawing/2010/main" val="0"/>
                      </a:ext>
                    </a:extLst>
                  </a:blip>
                  <a:stretch>
                    <a:fillRect/>
                  </a:stretch>
                </pic:blipFill>
                <pic:spPr>
                  <a:xfrm>
                    <a:off x="0" y="0"/>
                    <a:ext cx="684795" cy="684795"/>
                  </a:xfrm>
                  <a:prstGeom prst="rect">
                    <a:avLst/>
                  </a:prstGeom>
                </pic:spPr>
              </pic:pic>
            </a:graphicData>
          </a:graphic>
        </wp:inline>
      </w:drawing>
    </w:r>
    <w:r>
      <w:ptab w:relativeTo="margin" w:alignment="center" w:leader="none"/>
    </w:r>
    <w:r w:rsidRPr="008B26B1">
      <w:rPr>
        <w:rFonts w:asciiTheme="majorHAnsi" w:hAnsiTheme="majorHAnsi"/>
        <w:b/>
        <w:i/>
      </w:rPr>
      <w:t>Kentucky Department of Education</w:t>
    </w:r>
    <w:r w:rsidRPr="008B26B1">
      <w:rPr>
        <w:rFonts w:asciiTheme="majorHAnsi" w:hAnsiTheme="majorHAnsi"/>
        <w:b/>
        <w:i/>
      </w:rPr>
      <w:ptab w:relativeTo="margin" w:alignment="right" w:leader="none"/>
    </w:r>
    <w:r w:rsidR="008B5EAD">
      <w:rPr>
        <w:noProof/>
      </w:rPr>
      <w:t>OTL:NGP:EA:1217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9A" w:rsidRDefault="0003199A" w:rsidP="00AA068C">
      <w:pPr>
        <w:spacing w:after="0" w:line="240" w:lineRule="auto"/>
      </w:pPr>
      <w:r>
        <w:separator/>
      </w:r>
    </w:p>
  </w:footnote>
  <w:footnote w:type="continuationSeparator" w:id="0">
    <w:p w:rsidR="0003199A" w:rsidRDefault="0003199A" w:rsidP="00AA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8C" w:rsidRPr="002F0B4A" w:rsidRDefault="00EB17FB">
    <w:pPr>
      <w:pStyle w:val="Header"/>
      <w:pBdr>
        <w:between w:val="single" w:sz="4" w:space="1" w:color="4F81BD" w:themeColor="accent1"/>
      </w:pBdr>
      <w:spacing w:line="276" w:lineRule="auto"/>
      <w:jc w:val="center"/>
      <w:rPr>
        <w:sz w:val="24"/>
      </w:rPr>
    </w:pPr>
    <w:r w:rsidRPr="002F0B4A">
      <w:rPr>
        <w:sz w:val="24"/>
      </w:rPr>
      <w:t>Instructional Transfo</w:t>
    </w:r>
    <w:r w:rsidR="00960503" w:rsidRPr="002F0B4A">
      <w:rPr>
        <w:sz w:val="24"/>
      </w:rPr>
      <w:t>rmation Implementation Continuum</w:t>
    </w:r>
    <w:r w:rsidR="00B541EC" w:rsidRPr="002F0B4A">
      <w:rPr>
        <w:sz w:val="24"/>
      </w:rPr>
      <w:t xml:space="preserve"> </w:t>
    </w:r>
  </w:p>
  <w:p w:rsidR="00AA068C" w:rsidRDefault="00AA0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3D3"/>
    <w:multiLevelType w:val="hybridMultilevel"/>
    <w:tmpl w:val="39A28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76D3D"/>
    <w:multiLevelType w:val="hybridMultilevel"/>
    <w:tmpl w:val="028030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10332"/>
    <w:multiLevelType w:val="hybridMultilevel"/>
    <w:tmpl w:val="8AE4F116"/>
    <w:lvl w:ilvl="0" w:tplc="04090019">
      <w:start w:val="1"/>
      <w:numFmt w:val="low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1319636F"/>
    <w:multiLevelType w:val="hybridMultilevel"/>
    <w:tmpl w:val="D5523D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BA51BC"/>
    <w:multiLevelType w:val="hybridMultilevel"/>
    <w:tmpl w:val="E26036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EBD4D7D"/>
    <w:multiLevelType w:val="hybridMultilevel"/>
    <w:tmpl w:val="EF6A5738"/>
    <w:lvl w:ilvl="0" w:tplc="7D48D3F4">
      <w:start w:val="1"/>
      <w:numFmt w:val="low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 w15:restartNumberingAfterBreak="0">
    <w:nsid w:val="38427774"/>
    <w:multiLevelType w:val="hybridMultilevel"/>
    <w:tmpl w:val="1DA81294"/>
    <w:lvl w:ilvl="0" w:tplc="F9EA17AA">
      <w:start w:val="1"/>
      <w:numFmt w:val="low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7" w15:restartNumberingAfterBreak="0">
    <w:nsid w:val="384917D4"/>
    <w:multiLevelType w:val="hybridMultilevel"/>
    <w:tmpl w:val="007E4D9A"/>
    <w:lvl w:ilvl="0" w:tplc="EA348042">
      <w:start w:val="1"/>
      <w:numFmt w:val="lowerLetter"/>
      <w:lvlText w:val="%1."/>
      <w:lvlJc w:val="left"/>
      <w:pPr>
        <w:ind w:left="360" w:hanging="360"/>
      </w:pPr>
      <w:rPr>
        <w:rFonts w:cstheme="minorHAnsi" w:hint="default"/>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9C23B1"/>
    <w:multiLevelType w:val="hybridMultilevel"/>
    <w:tmpl w:val="44C809B6"/>
    <w:lvl w:ilvl="0" w:tplc="E284A23A">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E85023"/>
    <w:multiLevelType w:val="hybridMultilevel"/>
    <w:tmpl w:val="1402E9BA"/>
    <w:lvl w:ilvl="0" w:tplc="C4986FE4">
      <w:start w:val="1"/>
      <w:numFmt w:val="lowerLetter"/>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0" w15:restartNumberingAfterBreak="0">
    <w:nsid w:val="4B9B48BB"/>
    <w:multiLevelType w:val="hybridMultilevel"/>
    <w:tmpl w:val="DE2CE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A2A8D"/>
    <w:multiLevelType w:val="hybridMultilevel"/>
    <w:tmpl w:val="1E260A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782E3C"/>
    <w:multiLevelType w:val="hybridMultilevel"/>
    <w:tmpl w:val="BA560F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CA63BD"/>
    <w:multiLevelType w:val="hybridMultilevel"/>
    <w:tmpl w:val="AEAA5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F162D"/>
    <w:multiLevelType w:val="hybridMultilevel"/>
    <w:tmpl w:val="F1D659A2"/>
    <w:lvl w:ilvl="0" w:tplc="7F9276F4">
      <w:start w:val="1"/>
      <w:numFmt w:val="lowerLetter"/>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num w:numId="1">
    <w:abstractNumId w:val="11"/>
  </w:num>
  <w:num w:numId="2">
    <w:abstractNumId w:val="12"/>
  </w:num>
  <w:num w:numId="3">
    <w:abstractNumId w:val="3"/>
  </w:num>
  <w:num w:numId="4">
    <w:abstractNumId w:val="8"/>
  </w:num>
  <w:num w:numId="5">
    <w:abstractNumId w:val="0"/>
  </w:num>
  <w:num w:numId="6">
    <w:abstractNumId w:val="7"/>
  </w:num>
  <w:num w:numId="7">
    <w:abstractNumId w:val="1"/>
  </w:num>
  <w:num w:numId="8">
    <w:abstractNumId w:val="14"/>
  </w:num>
  <w:num w:numId="9">
    <w:abstractNumId w:val="6"/>
  </w:num>
  <w:num w:numId="10">
    <w:abstractNumId w:val="5"/>
  </w:num>
  <w:num w:numId="11">
    <w:abstractNumId w:val="2"/>
  </w:num>
  <w:num w:numId="12">
    <w:abstractNumId w:val="10"/>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12"/>
    <w:rsid w:val="00000362"/>
    <w:rsid w:val="00002822"/>
    <w:rsid w:val="00013897"/>
    <w:rsid w:val="000165DA"/>
    <w:rsid w:val="000165FA"/>
    <w:rsid w:val="000211F1"/>
    <w:rsid w:val="00021317"/>
    <w:rsid w:val="00022FC2"/>
    <w:rsid w:val="00024E92"/>
    <w:rsid w:val="0003199A"/>
    <w:rsid w:val="000344B5"/>
    <w:rsid w:val="000351DC"/>
    <w:rsid w:val="00036704"/>
    <w:rsid w:val="0004008A"/>
    <w:rsid w:val="00040DCC"/>
    <w:rsid w:val="00043607"/>
    <w:rsid w:val="00043BF8"/>
    <w:rsid w:val="00062E79"/>
    <w:rsid w:val="00070B9A"/>
    <w:rsid w:val="0007234F"/>
    <w:rsid w:val="00084065"/>
    <w:rsid w:val="00087120"/>
    <w:rsid w:val="0009369F"/>
    <w:rsid w:val="000A500C"/>
    <w:rsid w:val="000A7F4E"/>
    <w:rsid w:val="000B1EA4"/>
    <w:rsid w:val="000B5780"/>
    <w:rsid w:val="000B7760"/>
    <w:rsid w:val="000B7F2D"/>
    <w:rsid w:val="000C54D4"/>
    <w:rsid w:val="000D7C36"/>
    <w:rsid w:val="000E4DDF"/>
    <w:rsid w:val="000E4E55"/>
    <w:rsid w:val="000E4F29"/>
    <w:rsid w:val="000E72F9"/>
    <w:rsid w:val="000F06E3"/>
    <w:rsid w:val="000F1F52"/>
    <w:rsid w:val="000F3D1C"/>
    <w:rsid w:val="000F4D40"/>
    <w:rsid w:val="000F6E0C"/>
    <w:rsid w:val="00100673"/>
    <w:rsid w:val="0010556E"/>
    <w:rsid w:val="0010577B"/>
    <w:rsid w:val="0011425B"/>
    <w:rsid w:val="001154DA"/>
    <w:rsid w:val="0011574A"/>
    <w:rsid w:val="00124156"/>
    <w:rsid w:val="00133CD0"/>
    <w:rsid w:val="001354A2"/>
    <w:rsid w:val="00137545"/>
    <w:rsid w:val="001433B6"/>
    <w:rsid w:val="00167202"/>
    <w:rsid w:val="00167C7C"/>
    <w:rsid w:val="00171B79"/>
    <w:rsid w:val="0017276C"/>
    <w:rsid w:val="0018164A"/>
    <w:rsid w:val="001A3A17"/>
    <w:rsid w:val="001A42E4"/>
    <w:rsid w:val="001A7769"/>
    <w:rsid w:val="001B362E"/>
    <w:rsid w:val="001B7718"/>
    <w:rsid w:val="001C0609"/>
    <w:rsid w:val="001C2086"/>
    <w:rsid w:val="001C28FF"/>
    <w:rsid w:val="001C44FF"/>
    <w:rsid w:val="001C5892"/>
    <w:rsid w:val="001D08B7"/>
    <w:rsid w:val="001E1AA1"/>
    <w:rsid w:val="001E4037"/>
    <w:rsid w:val="001F72EF"/>
    <w:rsid w:val="00200BD4"/>
    <w:rsid w:val="002036E2"/>
    <w:rsid w:val="00204314"/>
    <w:rsid w:val="00204E0E"/>
    <w:rsid w:val="00205CD5"/>
    <w:rsid w:val="00215F2C"/>
    <w:rsid w:val="00221789"/>
    <w:rsid w:val="002324DB"/>
    <w:rsid w:val="00232D2E"/>
    <w:rsid w:val="00237B83"/>
    <w:rsid w:val="00237F57"/>
    <w:rsid w:val="0024371A"/>
    <w:rsid w:val="00243D89"/>
    <w:rsid w:val="00244E03"/>
    <w:rsid w:val="00246A90"/>
    <w:rsid w:val="00247878"/>
    <w:rsid w:val="002606EA"/>
    <w:rsid w:val="002776AC"/>
    <w:rsid w:val="002824E5"/>
    <w:rsid w:val="0028435D"/>
    <w:rsid w:val="002871B2"/>
    <w:rsid w:val="002925D7"/>
    <w:rsid w:val="002A19DC"/>
    <w:rsid w:val="002A1A1D"/>
    <w:rsid w:val="002A4C77"/>
    <w:rsid w:val="002A6672"/>
    <w:rsid w:val="002B5C30"/>
    <w:rsid w:val="002C7780"/>
    <w:rsid w:val="002D3B38"/>
    <w:rsid w:val="002D3CBB"/>
    <w:rsid w:val="002D5ED5"/>
    <w:rsid w:val="002D7D84"/>
    <w:rsid w:val="002F0B4A"/>
    <w:rsid w:val="00300E0C"/>
    <w:rsid w:val="003033F0"/>
    <w:rsid w:val="003121A2"/>
    <w:rsid w:val="00315635"/>
    <w:rsid w:val="003265D6"/>
    <w:rsid w:val="0033398A"/>
    <w:rsid w:val="003354E5"/>
    <w:rsid w:val="00336970"/>
    <w:rsid w:val="00337D12"/>
    <w:rsid w:val="00356875"/>
    <w:rsid w:val="00361D50"/>
    <w:rsid w:val="00365278"/>
    <w:rsid w:val="0037117B"/>
    <w:rsid w:val="00380A7B"/>
    <w:rsid w:val="00382F15"/>
    <w:rsid w:val="00383C22"/>
    <w:rsid w:val="0038763D"/>
    <w:rsid w:val="00395DF3"/>
    <w:rsid w:val="003963BE"/>
    <w:rsid w:val="00397243"/>
    <w:rsid w:val="003B267E"/>
    <w:rsid w:val="003B5262"/>
    <w:rsid w:val="003E4C60"/>
    <w:rsid w:val="003E52FC"/>
    <w:rsid w:val="003F3E6D"/>
    <w:rsid w:val="0040024A"/>
    <w:rsid w:val="004125DC"/>
    <w:rsid w:val="00416DF9"/>
    <w:rsid w:val="0041751D"/>
    <w:rsid w:val="00423087"/>
    <w:rsid w:val="00426347"/>
    <w:rsid w:val="00440296"/>
    <w:rsid w:val="00440EC2"/>
    <w:rsid w:val="00452534"/>
    <w:rsid w:val="004570F5"/>
    <w:rsid w:val="004877AD"/>
    <w:rsid w:val="004902FB"/>
    <w:rsid w:val="004939F3"/>
    <w:rsid w:val="00494804"/>
    <w:rsid w:val="004A76A4"/>
    <w:rsid w:val="004B1F98"/>
    <w:rsid w:val="004B3328"/>
    <w:rsid w:val="004B3A5B"/>
    <w:rsid w:val="004C1649"/>
    <w:rsid w:val="004C2695"/>
    <w:rsid w:val="004C2B01"/>
    <w:rsid w:val="004D64C2"/>
    <w:rsid w:val="004F184B"/>
    <w:rsid w:val="004F3184"/>
    <w:rsid w:val="00506D18"/>
    <w:rsid w:val="005214DA"/>
    <w:rsid w:val="0054030D"/>
    <w:rsid w:val="0055039E"/>
    <w:rsid w:val="00550C2E"/>
    <w:rsid w:val="00560200"/>
    <w:rsid w:val="00567B1D"/>
    <w:rsid w:val="00570866"/>
    <w:rsid w:val="00573CAD"/>
    <w:rsid w:val="005845F0"/>
    <w:rsid w:val="005910BC"/>
    <w:rsid w:val="005926CC"/>
    <w:rsid w:val="005B1FFA"/>
    <w:rsid w:val="005C0581"/>
    <w:rsid w:val="005D36A2"/>
    <w:rsid w:val="005D4D6C"/>
    <w:rsid w:val="005D51FE"/>
    <w:rsid w:val="005F6DA3"/>
    <w:rsid w:val="005F78E4"/>
    <w:rsid w:val="00601397"/>
    <w:rsid w:val="00602850"/>
    <w:rsid w:val="00607D44"/>
    <w:rsid w:val="00607FF2"/>
    <w:rsid w:val="00614216"/>
    <w:rsid w:val="00627363"/>
    <w:rsid w:val="00634EDF"/>
    <w:rsid w:val="0064107E"/>
    <w:rsid w:val="006438B8"/>
    <w:rsid w:val="00644EE8"/>
    <w:rsid w:val="0065607E"/>
    <w:rsid w:val="00663FAE"/>
    <w:rsid w:val="00673270"/>
    <w:rsid w:val="00680015"/>
    <w:rsid w:val="006823BA"/>
    <w:rsid w:val="0069408B"/>
    <w:rsid w:val="006A2018"/>
    <w:rsid w:val="006B04DF"/>
    <w:rsid w:val="006B27C8"/>
    <w:rsid w:val="006B311A"/>
    <w:rsid w:val="006E243D"/>
    <w:rsid w:val="006F20FC"/>
    <w:rsid w:val="006F4707"/>
    <w:rsid w:val="006F6731"/>
    <w:rsid w:val="00710032"/>
    <w:rsid w:val="007117F5"/>
    <w:rsid w:val="00716061"/>
    <w:rsid w:val="00722097"/>
    <w:rsid w:val="00730A57"/>
    <w:rsid w:val="00730AA8"/>
    <w:rsid w:val="00735043"/>
    <w:rsid w:val="00736295"/>
    <w:rsid w:val="00737BFC"/>
    <w:rsid w:val="007507A7"/>
    <w:rsid w:val="0076384E"/>
    <w:rsid w:val="00766902"/>
    <w:rsid w:val="00781879"/>
    <w:rsid w:val="00782E95"/>
    <w:rsid w:val="007953EA"/>
    <w:rsid w:val="007A2D9C"/>
    <w:rsid w:val="007A42D7"/>
    <w:rsid w:val="007B066B"/>
    <w:rsid w:val="007B5A1A"/>
    <w:rsid w:val="007B6F55"/>
    <w:rsid w:val="007C2F20"/>
    <w:rsid w:val="007C3CBB"/>
    <w:rsid w:val="007C7390"/>
    <w:rsid w:val="007D21DE"/>
    <w:rsid w:val="007E05AA"/>
    <w:rsid w:val="007E1237"/>
    <w:rsid w:val="007E1351"/>
    <w:rsid w:val="007E50FA"/>
    <w:rsid w:val="007E7150"/>
    <w:rsid w:val="007F0A59"/>
    <w:rsid w:val="00800ED9"/>
    <w:rsid w:val="008168E9"/>
    <w:rsid w:val="00822238"/>
    <w:rsid w:val="00823197"/>
    <w:rsid w:val="00823A0E"/>
    <w:rsid w:val="00826D60"/>
    <w:rsid w:val="00835DFE"/>
    <w:rsid w:val="008414DD"/>
    <w:rsid w:val="00841C2E"/>
    <w:rsid w:val="0084374C"/>
    <w:rsid w:val="008441F5"/>
    <w:rsid w:val="00850E4B"/>
    <w:rsid w:val="00862997"/>
    <w:rsid w:val="00862E13"/>
    <w:rsid w:val="008658F3"/>
    <w:rsid w:val="00873E3E"/>
    <w:rsid w:val="00877577"/>
    <w:rsid w:val="00880638"/>
    <w:rsid w:val="00891C8B"/>
    <w:rsid w:val="008946A5"/>
    <w:rsid w:val="00895BE1"/>
    <w:rsid w:val="008A0D44"/>
    <w:rsid w:val="008B26B1"/>
    <w:rsid w:val="008B5EAD"/>
    <w:rsid w:val="008D2753"/>
    <w:rsid w:val="008E4EF5"/>
    <w:rsid w:val="008F0FD0"/>
    <w:rsid w:val="008F6152"/>
    <w:rsid w:val="0090015D"/>
    <w:rsid w:val="009014BF"/>
    <w:rsid w:val="00902DD3"/>
    <w:rsid w:val="009055DE"/>
    <w:rsid w:val="00905C8A"/>
    <w:rsid w:val="0091768A"/>
    <w:rsid w:val="00920955"/>
    <w:rsid w:val="00924DF6"/>
    <w:rsid w:val="00925900"/>
    <w:rsid w:val="00941168"/>
    <w:rsid w:val="0094266B"/>
    <w:rsid w:val="00942EAB"/>
    <w:rsid w:val="00946AAE"/>
    <w:rsid w:val="0095168D"/>
    <w:rsid w:val="00951D46"/>
    <w:rsid w:val="00960503"/>
    <w:rsid w:val="00963298"/>
    <w:rsid w:val="00974A71"/>
    <w:rsid w:val="00975B8C"/>
    <w:rsid w:val="00977CB1"/>
    <w:rsid w:val="009821D2"/>
    <w:rsid w:val="00992C48"/>
    <w:rsid w:val="009A209F"/>
    <w:rsid w:val="009A2B74"/>
    <w:rsid w:val="009B1581"/>
    <w:rsid w:val="009B1C67"/>
    <w:rsid w:val="009C0122"/>
    <w:rsid w:val="009C0646"/>
    <w:rsid w:val="009C1334"/>
    <w:rsid w:val="009C5E1B"/>
    <w:rsid w:val="009E26DD"/>
    <w:rsid w:val="009E43B2"/>
    <w:rsid w:val="00A0379F"/>
    <w:rsid w:val="00A110D3"/>
    <w:rsid w:val="00A14176"/>
    <w:rsid w:val="00A34ECA"/>
    <w:rsid w:val="00A40435"/>
    <w:rsid w:val="00A50CEE"/>
    <w:rsid w:val="00A544C9"/>
    <w:rsid w:val="00A55DF4"/>
    <w:rsid w:val="00A57C80"/>
    <w:rsid w:val="00A63C32"/>
    <w:rsid w:val="00A63F65"/>
    <w:rsid w:val="00A71ED9"/>
    <w:rsid w:val="00A75FF6"/>
    <w:rsid w:val="00A81835"/>
    <w:rsid w:val="00A84EB3"/>
    <w:rsid w:val="00A919E3"/>
    <w:rsid w:val="00A93FAB"/>
    <w:rsid w:val="00AA068C"/>
    <w:rsid w:val="00AA58EB"/>
    <w:rsid w:val="00AB0E10"/>
    <w:rsid w:val="00AB2064"/>
    <w:rsid w:val="00AB503A"/>
    <w:rsid w:val="00AB5788"/>
    <w:rsid w:val="00AC6590"/>
    <w:rsid w:val="00AD3008"/>
    <w:rsid w:val="00AE324A"/>
    <w:rsid w:val="00AE3DBD"/>
    <w:rsid w:val="00AE706C"/>
    <w:rsid w:val="00AF1F92"/>
    <w:rsid w:val="00AF4C2B"/>
    <w:rsid w:val="00B0057C"/>
    <w:rsid w:val="00B02104"/>
    <w:rsid w:val="00B031DA"/>
    <w:rsid w:val="00B2659C"/>
    <w:rsid w:val="00B361FA"/>
    <w:rsid w:val="00B37E78"/>
    <w:rsid w:val="00B44854"/>
    <w:rsid w:val="00B46326"/>
    <w:rsid w:val="00B52A62"/>
    <w:rsid w:val="00B541EC"/>
    <w:rsid w:val="00B56880"/>
    <w:rsid w:val="00B63B89"/>
    <w:rsid w:val="00B8391D"/>
    <w:rsid w:val="00BA0F04"/>
    <w:rsid w:val="00BA691E"/>
    <w:rsid w:val="00BC0892"/>
    <w:rsid w:val="00BC1F8E"/>
    <w:rsid w:val="00BC6E1A"/>
    <w:rsid w:val="00BC6F4D"/>
    <w:rsid w:val="00BD351E"/>
    <w:rsid w:val="00BF0601"/>
    <w:rsid w:val="00C00EC5"/>
    <w:rsid w:val="00C0216B"/>
    <w:rsid w:val="00C23F5F"/>
    <w:rsid w:val="00C2420C"/>
    <w:rsid w:val="00C27698"/>
    <w:rsid w:val="00C31561"/>
    <w:rsid w:val="00C337A8"/>
    <w:rsid w:val="00C33F08"/>
    <w:rsid w:val="00C468F9"/>
    <w:rsid w:val="00C55041"/>
    <w:rsid w:val="00C70715"/>
    <w:rsid w:val="00C742BE"/>
    <w:rsid w:val="00C759A5"/>
    <w:rsid w:val="00C804D9"/>
    <w:rsid w:val="00C916CD"/>
    <w:rsid w:val="00CA157B"/>
    <w:rsid w:val="00CA24BA"/>
    <w:rsid w:val="00CA58D8"/>
    <w:rsid w:val="00CA6F80"/>
    <w:rsid w:val="00CA7D35"/>
    <w:rsid w:val="00CD02F7"/>
    <w:rsid w:val="00CD0E70"/>
    <w:rsid w:val="00CD4F00"/>
    <w:rsid w:val="00CD6402"/>
    <w:rsid w:val="00CE1922"/>
    <w:rsid w:val="00CE254C"/>
    <w:rsid w:val="00CF33D6"/>
    <w:rsid w:val="00D0298D"/>
    <w:rsid w:val="00D04F6F"/>
    <w:rsid w:val="00D06762"/>
    <w:rsid w:val="00D16294"/>
    <w:rsid w:val="00D21A1D"/>
    <w:rsid w:val="00D22F31"/>
    <w:rsid w:val="00D30BE8"/>
    <w:rsid w:val="00D35D2C"/>
    <w:rsid w:val="00D35E14"/>
    <w:rsid w:val="00D53ECB"/>
    <w:rsid w:val="00D6656A"/>
    <w:rsid w:val="00D81A6D"/>
    <w:rsid w:val="00D90A1C"/>
    <w:rsid w:val="00D94F1D"/>
    <w:rsid w:val="00D95C63"/>
    <w:rsid w:val="00D9734B"/>
    <w:rsid w:val="00DA4A72"/>
    <w:rsid w:val="00DA58CF"/>
    <w:rsid w:val="00DB1836"/>
    <w:rsid w:val="00DB1CE9"/>
    <w:rsid w:val="00DB3290"/>
    <w:rsid w:val="00DB3A54"/>
    <w:rsid w:val="00DB587B"/>
    <w:rsid w:val="00DB642B"/>
    <w:rsid w:val="00DB7EC0"/>
    <w:rsid w:val="00DC45CF"/>
    <w:rsid w:val="00DD2A78"/>
    <w:rsid w:val="00DD771F"/>
    <w:rsid w:val="00DE0D5C"/>
    <w:rsid w:val="00DF314B"/>
    <w:rsid w:val="00DF528A"/>
    <w:rsid w:val="00E055EF"/>
    <w:rsid w:val="00E072EE"/>
    <w:rsid w:val="00E306FB"/>
    <w:rsid w:val="00E42F9C"/>
    <w:rsid w:val="00E4494F"/>
    <w:rsid w:val="00E52BD2"/>
    <w:rsid w:val="00E54EB9"/>
    <w:rsid w:val="00E63332"/>
    <w:rsid w:val="00E673A2"/>
    <w:rsid w:val="00E7095E"/>
    <w:rsid w:val="00E7557D"/>
    <w:rsid w:val="00E7761F"/>
    <w:rsid w:val="00E86CEB"/>
    <w:rsid w:val="00E924F8"/>
    <w:rsid w:val="00E94F9D"/>
    <w:rsid w:val="00EA4B9E"/>
    <w:rsid w:val="00EB17FB"/>
    <w:rsid w:val="00EB3E31"/>
    <w:rsid w:val="00EC06E5"/>
    <w:rsid w:val="00EC10B9"/>
    <w:rsid w:val="00EC3526"/>
    <w:rsid w:val="00ED1830"/>
    <w:rsid w:val="00ED7332"/>
    <w:rsid w:val="00ED757E"/>
    <w:rsid w:val="00EE319D"/>
    <w:rsid w:val="00EE5C04"/>
    <w:rsid w:val="00F23AC3"/>
    <w:rsid w:val="00F309E1"/>
    <w:rsid w:val="00F32C8D"/>
    <w:rsid w:val="00F35456"/>
    <w:rsid w:val="00F5122C"/>
    <w:rsid w:val="00F54011"/>
    <w:rsid w:val="00F63BFC"/>
    <w:rsid w:val="00F6649D"/>
    <w:rsid w:val="00F7083E"/>
    <w:rsid w:val="00F7097D"/>
    <w:rsid w:val="00F8278C"/>
    <w:rsid w:val="00F85F23"/>
    <w:rsid w:val="00F96181"/>
    <w:rsid w:val="00F976BF"/>
    <w:rsid w:val="00FA040E"/>
    <w:rsid w:val="00FC09CC"/>
    <w:rsid w:val="00FC18AF"/>
    <w:rsid w:val="00FC6B41"/>
    <w:rsid w:val="00FC7082"/>
    <w:rsid w:val="00FC77C6"/>
    <w:rsid w:val="00FD10D5"/>
    <w:rsid w:val="00FE2C93"/>
    <w:rsid w:val="00FE4A27"/>
    <w:rsid w:val="00F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DF071-737D-402B-99DD-2C91E38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D12"/>
    <w:rPr>
      <w:sz w:val="16"/>
      <w:szCs w:val="16"/>
    </w:rPr>
  </w:style>
  <w:style w:type="paragraph" w:styleId="CommentText">
    <w:name w:val="annotation text"/>
    <w:basedOn w:val="Normal"/>
    <w:link w:val="CommentTextChar"/>
    <w:uiPriority w:val="99"/>
    <w:semiHidden/>
    <w:unhideWhenUsed/>
    <w:rsid w:val="00337D12"/>
    <w:pPr>
      <w:spacing w:line="240" w:lineRule="auto"/>
    </w:pPr>
    <w:rPr>
      <w:sz w:val="20"/>
      <w:szCs w:val="20"/>
    </w:rPr>
  </w:style>
  <w:style w:type="character" w:customStyle="1" w:styleId="CommentTextChar">
    <w:name w:val="Comment Text Char"/>
    <w:basedOn w:val="DefaultParagraphFont"/>
    <w:link w:val="CommentText"/>
    <w:uiPriority w:val="99"/>
    <w:semiHidden/>
    <w:rsid w:val="00337D12"/>
    <w:rPr>
      <w:sz w:val="20"/>
      <w:szCs w:val="20"/>
    </w:rPr>
  </w:style>
  <w:style w:type="paragraph" w:styleId="BalloonText">
    <w:name w:val="Balloon Text"/>
    <w:basedOn w:val="Normal"/>
    <w:link w:val="BalloonTextChar"/>
    <w:uiPriority w:val="99"/>
    <w:semiHidden/>
    <w:unhideWhenUsed/>
    <w:rsid w:val="0033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12"/>
    <w:rPr>
      <w:rFonts w:ascii="Tahoma" w:hAnsi="Tahoma" w:cs="Tahoma"/>
      <w:sz w:val="16"/>
      <w:szCs w:val="16"/>
    </w:rPr>
  </w:style>
  <w:style w:type="paragraph" w:styleId="Header">
    <w:name w:val="header"/>
    <w:basedOn w:val="Normal"/>
    <w:link w:val="HeaderChar"/>
    <w:uiPriority w:val="99"/>
    <w:unhideWhenUsed/>
    <w:rsid w:val="00AA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8C"/>
  </w:style>
  <w:style w:type="paragraph" w:styleId="Footer">
    <w:name w:val="footer"/>
    <w:basedOn w:val="Normal"/>
    <w:link w:val="FooterChar"/>
    <w:uiPriority w:val="99"/>
    <w:unhideWhenUsed/>
    <w:rsid w:val="00AA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8C"/>
  </w:style>
  <w:style w:type="paragraph" w:styleId="NoSpacing">
    <w:name w:val="No Spacing"/>
    <w:link w:val="NoSpacingChar"/>
    <w:uiPriority w:val="1"/>
    <w:qFormat/>
    <w:rsid w:val="00AA06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68C"/>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6A2018"/>
    <w:rPr>
      <w:b/>
      <w:bCs/>
    </w:rPr>
  </w:style>
  <w:style w:type="character" w:customStyle="1" w:styleId="CommentSubjectChar">
    <w:name w:val="Comment Subject Char"/>
    <w:basedOn w:val="CommentTextChar"/>
    <w:link w:val="CommentSubject"/>
    <w:uiPriority w:val="99"/>
    <w:semiHidden/>
    <w:rsid w:val="006A2018"/>
    <w:rPr>
      <w:b/>
      <w:bCs/>
      <w:sz w:val="20"/>
      <w:szCs w:val="20"/>
    </w:rPr>
  </w:style>
  <w:style w:type="paragraph" w:styleId="ListParagraph">
    <w:name w:val="List Paragraph"/>
    <w:basedOn w:val="Normal"/>
    <w:uiPriority w:val="34"/>
    <w:qFormat/>
    <w:rsid w:val="001A7769"/>
    <w:pPr>
      <w:ind w:left="720"/>
      <w:contextualSpacing/>
    </w:pPr>
  </w:style>
  <w:style w:type="character" w:styleId="Hyperlink">
    <w:name w:val="Hyperlink"/>
    <w:basedOn w:val="DefaultParagraphFont"/>
    <w:uiPriority w:val="99"/>
    <w:unhideWhenUsed/>
    <w:rsid w:val="00710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02423">
      <w:bodyDiv w:val="1"/>
      <w:marLeft w:val="0"/>
      <w:marRight w:val="0"/>
      <w:marTop w:val="0"/>
      <w:marBottom w:val="0"/>
      <w:divBdr>
        <w:top w:val="none" w:sz="0" w:space="0" w:color="auto"/>
        <w:left w:val="none" w:sz="0" w:space="0" w:color="auto"/>
        <w:bottom w:val="none" w:sz="0" w:space="0" w:color="auto"/>
        <w:right w:val="none" w:sz="0" w:space="0" w:color="auto"/>
      </w:divBdr>
    </w:div>
    <w:div w:id="10138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ducation.ky.gov/teachers/PD/Documents/KY%20Professional%20Learning%20Guidance.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2016-06-30T04:00:00+00:00</Publication_x0020_Date>
    <Audience1 xmlns="3a62de7d-ba57-4f43-9dae-9623ba637be0"/>
    <_dlc_DocId xmlns="3a62de7d-ba57-4f43-9dae-9623ba637be0">KYED-440-35</_dlc_DocId>
    <_dlc_DocIdUrl xmlns="3a62de7d-ba57-4f43-9dae-9623ba637be0">
      <Url>https://www.education.ky.gov/teachers/_layouts/DocIdRedir.aspx?ID=KYED-440-35</Url>
      <Description>KYED-440-35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District</Accessibility_x0020_Audienc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0650E2A19373804AB81DA5AE4F52EBE9" ma:contentTypeVersion="28" ma:contentTypeDescription="" ma:contentTypeScope="" ma:versionID="75577cd86a23a771b1537d4bfc5fdf8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5a1b248b51942dd78d693e8f085ce82"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B6EF8-7030-49BD-B4E0-E76E8F2A7BCC}">
  <ds:schemaRefs>
    <ds:schemaRef ds:uri="http://schemas.microsoft.com/sharepoint/v3/contenttype/forms"/>
  </ds:schemaRefs>
</ds:datastoreItem>
</file>

<file path=customXml/itemProps3.xml><?xml version="1.0" encoding="utf-8"?>
<ds:datastoreItem xmlns:ds="http://schemas.openxmlformats.org/officeDocument/2006/customXml" ds:itemID="{6BD759C1-C2EA-4898-ACCA-5E42225F8776}">
  <ds:schemaRefs>
    <ds:schemaRef ds:uri="http://schemas.microsoft.com/sharepoint/events"/>
  </ds:schemaRefs>
</ds:datastoreItem>
</file>

<file path=customXml/itemProps4.xml><?xml version="1.0" encoding="utf-8"?>
<ds:datastoreItem xmlns:ds="http://schemas.openxmlformats.org/officeDocument/2006/customXml" ds:itemID="{0DD4907E-6A86-42AF-9519-4282FA56F82F}">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8BADD0E6-23AA-4537-87E9-61891B445297}"/>
</file>

<file path=customXml/itemProps6.xml><?xml version="1.0" encoding="utf-8"?>
<ds:datastoreItem xmlns:ds="http://schemas.openxmlformats.org/officeDocument/2006/customXml" ds:itemID="{C621F445-D54E-4FC8-A01C-CE7241A3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Instructional Transformation Grant</vt:lpstr>
    </vt:vector>
  </TitlesOfParts>
  <Company>Kentucky Department of Education</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Transformation Grant</dc:title>
  <dc:creator>Parker, Cindy - Division of Program Standards</dc:creator>
  <cp:lastModifiedBy>Ashcraft, Erin - Division of Next Generation Professionals</cp:lastModifiedBy>
  <cp:revision>5</cp:revision>
  <cp:lastPrinted>2012-04-04T17:26:00Z</cp:lastPrinted>
  <dcterms:created xsi:type="dcterms:W3CDTF">2017-12-20T17:22:00Z</dcterms:created>
  <dcterms:modified xsi:type="dcterms:W3CDTF">2017-12-21T12:05:00Z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0x0101001BEB557DBE01834EAB47A683706DCD5B000650E2A19373804AB81DA5AE4F52EBE9</vt:lpwstr>
  </property>
  <property fmtid="{D5CDD505-2E9C-101B-9397-08002B2CF9AE}" pid="3" name="_dlc_DocIdItemGuid">
    <vt:lpwstr>5f5ff510-d890-44a6-98b0-99069be4a14f</vt:lpwstr>
  </property>
</Properties>
</file>