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4EF42" w14:textId="44E98345" w:rsidR="005257CE" w:rsidRPr="00D86796" w:rsidRDefault="00A15066" w:rsidP="002B01FF">
      <w:pPr>
        <w:jc w:val="center"/>
        <w:rPr>
          <w:rFonts w:cstheme="minorHAnsi"/>
          <w:b/>
          <w:bCs/>
          <w:sz w:val="36"/>
          <w:szCs w:val="36"/>
        </w:rPr>
      </w:pPr>
      <w:bookmarkStart w:id="0" w:name="_GoBack"/>
      <w:bookmarkEnd w:id="0"/>
      <w:r w:rsidRPr="00D86796">
        <w:rPr>
          <w:rFonts w:cstheme="minorHAnsi"/>
          <w:b/>
          <w:bCs/>
          <w:sz w:val="36"/>
          <w:szCs w:val="36"/>
        </w:rPr>
        <w:t>FY21 McKinney-Vento Awards</w:t>
      </w:r>
    </w:p>
    <w:tbl>
      <w:tblPr>
        <w:tblStyle w:val="TableGrid"/>
        <w:tblW w:w="0" w:type="auto"/>
        <w:tblInd w:w="-95" w:type="dxa"/>
        <w:tblLook w:val="04A0" w:firstRow="1" w:lastRow="0" w:firstColumn="1" w:lastColumn="0" w:noHBand="0" w:noVBand="1"/>
      </w:tblPr>
      <w:tblGrid>
        <w:gridCol w:w="3555"/>
        <w:gridCol w:w="3555"/>
        <w:gridCol w:w="1890"/>
      </w:tblGrid>
      <w:tr w:rsidR="00203EBB" w:rsidRPr="00D86796" w14:paraId="2BF7C379" w14:textId="77777777" w:rsidTr="00D03253">
        <w:tc>
          <w:tcPr>
            <w:tcW w:w="3555" w:type="dxa"/>
            <w:vAlign w:val="center"/>
          </w:tcPr>
          <w:p w14:paraId="22565058" w14:textId="6AAA0C19" w:rsidR="00203EBB" w:rsidRPr="00D86796" w:rsidRDefault="00D86796" w:rsidP="000377B1">
            <w:pPr>
              <w:jc w:val="center"/>
              <w:rPr>
                <w:rFonts w:cstheme="minorHAnsi"/>
                <w:b/>
                <w:bCs/>
                <w:sz w:val="24"/>
                <w:szCs w:val="24"/>
              </w:rPr>
            </w:pPr>
            <w:r>
              <w:rPr>
                <w:rFonts w:cstheme="minorHAnsi"/>
                <w:b/>
                <w:bCs/>
                <w:sz w:val="24"/>
                <w:szCs w:val="24"/>
              </w:rPr>
              <w:t>Local Education Agency (</w:t>
            </w:r>
            <w:r w:rsidR="00203EBB" w:rsidRPr="00D86796">
              <w:rPr>
                <w:rFonts w:cstheme="minorHAnsi"/>
                <w:b/>
                <w:bCs/>
                <w:sz w:val="24"/>
                <w:szCs w:val="24"/>
              </w:rPr>
              <w:t>LEA</w:t>
            </w:r>
            <w:r>
              <w:rPr>
                <w:rFonts w:cstheme="minorHAnsi"/>
                <w:b/>
                <w:bCs/>
                <w:sz w:val="24"/>
                <w:szCs w:val="24"/>
              </w:rPr>
              <w:t>)</w:t>
            </w:r>
          </w:p>
        </w:tc>
        <w:tc>
          <w:tcPr>
            <w:tcW w:w="3555" w:type="dxa"/>
            <w:vAlign w:val="center"/>
          </w:tcPr>
          <w:p w14:paraId="7ECFFBDE" w14:textId="77777777" w:rsidR="000377B1" w:rsidRPr="00D86796" w:rsidRDefault="00203EBB" w:rsidP="000377B1">
            <w:pPr>
              <w:jc w:val="center"/>
              <w:rPr>
                <w:rFonts w:cstheme="minorHAnsi"/>
                <w:b/>
                <w:bCs/>
                <w:sz w:val="24"/>
                <w:szCs w:val="24"/>
              </w:rPr>
            </w:pPr>
            <w:r w:rsidRPr="00D86796">
              <w:rPr>
                <w:rFonts w:cstheme="minorHAnsi"/>
                <w:b/>
                <w:bCs/>
                <w:sz w:val="24"/>
                <w:szCs w:val="24"/>
              </w:rPr>
              <w:t xml:space="preserve">Collaborating Districts </w:t>
            </w:r>
          </w:p>
          <w:p w14:paraId="1EB2E7A3" w14:textId="77BEBDCE" w:rsidR="00203EBB" w:rsidRPr="00D86796" w:rsidRDefault="00203EBB" w:rsidP="000377B1">
            <w:pPr>
              <w:jc w:val="center"/>
              <w:rPr>
                <w:rFonts w:cstheme="minorHAnsi"/>
                <w:sz w:val="24"/>
                <w:szCs w:val="24"/>
              </w:rPr>
            </w:pPr>
            <w:r w:rsidRPr="00D86796">
              <w:rPr>
                <w:rFonts w:cstheme="minorHAnsi"/>
                <w:sz w:val="24"/>
                <w:szCs w:val="24"/>
              </w:rPr>
              <w:t>(</w:t>
            </w:r>
            <w:r w:rsidR="000377B1" w:rsidRPr="00D86796">
              <w:rPr>
                <w:rFonts w:cstheme="minorHAnsi"/>
                <w:sz w:val="24"/>
                <w:szCs w:val="24"/>
              </w:rPr>
              <w:t>i</w:t>
            </w:r>
            <w:r w:rsidRPr="00D86796">
              <w:rPr>
                <w:rFonts w:cstheme="minorHAnsi"/>
                <w:sz w:val="24"/>
                <w:szCs w:val="24"/>
              </w:rPr>
              <w:t>f applicable)</w:t>
            </w:r>
          </w:p>
        </w:tc>
        <w:tc>
          <w:tcPr>
            <w:tcW w:w="1890" w:type="dxa"/>
            <w:vAlign w:val="center"/>
          </w:tcPr>
          <w:p w14:paraId="64550042" w14:textId="4490C16D" w:rsidR="00203EBB" w:rsidRPr="00D86796" w:rsidRDefault="00203EBB" w:rsidP="000377B1">
            <w:pPr>
              <w:jc w:val="center"/>
              <w:rPr>
                <w:rFonts w:cstheme="minorHAnsi"/>
                <w:b/>
                <w:bCs/>
                <w:sz w:val="24"/>
                <w:szCs w:val="24"/>
              </w:rPr>
            </w:pPr>
            <w:r w:rsidRPr="00D86796">
              <w:rPr>
                <w:rFonts w:cstheme="minorHAnsi"/>
                <w:b/>
                <w:bCs/>
                <w:sz w:val="24"/>
                <w:szCs w:val="24"/>
              </w:rPr>
              <w:t>Award Amount</w:t>
            </w:r>
            <w:r w:rsidR="004A6FCF" w:rsidRPr="004A6FCF">
              <w:rPr>
                <w:rFonts w:cstheme="minorHAnsi"/>
                <w:b/>
                <w:bCs/>
                <w:sz w:val="24"/>
                <w:szCs w:val="24"/>
                <w:vertAlign w:val="superscript"/>
              </w:rPr>
              <w:t>*</w:t>
            </w:r>
          </w:p>
        </w:tc>
      </w:tr>
      <w:tr w:rsidR="00203EBB" w:rsidRPr="00D86796" w14:paraId="0A132ED9"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25372C6C" w14:textId="77777777" w:rsidR="00203EBB" w:rsidRPr="00D86796" w:rsidRDefault="00203EBB" w:rsidP="000377B1">
            <w:pPr>
              <w:rPr>
                <w:rFonts w:cstheme="minorHAnsi"/>
                <w:sz w:val="24"/>
                <w:szCs w:val="24"/>
              </w:rPr>
            </w:pPr>
            <w:r w:rsidRPr="00D86796">
              <w:rPr>
                <w:rFonts w:cstheme="minorHAnsi"/>
                <w:color w:val="000000"/>
                <w:sz w:val="24"/>
                <w:szCs w:val="24"/>
              </w:rPr>
              <w:t>Bullitt County</w:t>
            </w:r>
          </w:p>
        </w:tc>
        <w:tc>
          <w:tcPr>
            <w:tcW w:w="3555" w:type="dxa"/>
            <w:tcBorders>
              <w:top w:val="nil"/>
              <w:left w:val="single" w:sz="4" w:space="0" w:color="auto"/>
              <w:bottom w:val="single" w:sz="4" w:space="0" w:color="auto"/>
              <w:right w:val="single" w:sz="4" w:space="0" w:color="auto"/>
            </w:tcBorders>
            <w:vAlign w:val="center"/>
          </w:tcPr>
          <w:p w14:paraId="00FE4AED"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50AFF9E9" w14:textId="29649F9F" w:rsidR="00203EBB" w:rsidRPr="00D86796" w:rsidRDefault="00203EBB" w:rsidP="00D86796">
            <w:pPr>
              <w:jc w:val="right"/>
              <w:rPr>
                <w:rFonts w:cstheme="minorHAnsi"/>
                <w:sz w:val="24"/>
                <w:szCs w:val="24"/>
              </w:rPr>
            </w:pPr>
            <w:r w:rsidRPr="00D86796">
              <w:rPr>
                <w:rFonts w:cstheme="minorHAnsi"/>
                <w:color w:val="000000"/>
                <w:sz w:val="24"/>
                <w:szCs w:val="24"/>
              </w:rPr>
              <w:t xml:space="preserve"> </w:t>
            </w:r>
            <w:r w:rsidR="001A190D">
              <w:rPr>
                <w:rFonts w:cstheme="minorHAnsi"/>
                <w:color w:val="000000"/>
                <w:sz w:val="24"/>
                <w:szCs w:val="24"/>
              </w:rPr>
              <w:t>$</w:t>
            </w:r>
            <w:r w:rsidRPr="00D86796">
              <w:rPr>
                <w:rFonts w:cstheme="minorHAnsi"/>
                <w:color w:val="000000"/>
                <w:sz w:val="24"/>
                <w:szCs w:val="24"/>
              </w:rPr>
              <w:t xml:space="preserve">65,717.39 </w:t>
            </w:r>
          </w:p>
        </w:tc>
      </w:tr>
      <w:tr w:rsidR="00203EBB" w:rsidRPr="00D86796" w14:paraId="6A55BE3A"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1CF8EE16" w14:textId="77777777" w:rsidR="00203EBB" w:rsidRPr="00D86796" w:rsidRDefault="00203EBB" w:rsidP="000377B1">
            <w:pPr>
              <w:rPr>
                <w:rFonts w:cstheme="minorHAnsi"/>
                <w:sz w:val="24"/>
                <w:szCs w:val="24"/>
              </w:rPr>
            </w:pPr>
            <w:r w:rsidRPr="00D86796">
              <w:rPr>
                <w:rFonts w:cstheme="minorHAnsi"/>
                <w:color w:val="000000"/>
                <w:sz w:val="24"/>
                <w:szCs w:val="24"/>
              </w:rPr>
              <w:t xml:space="preserve">Campbell County </w:t>
            </w:r>
          </w:p>
        </w:tc>
        <w:tc>
          <w:tcPr>
            <w:tcW w:w="3555" w:type="dxa"/>
            <w:tcBorders>
              <w:top w:val="nil"/>
              <w:left w:val="single" w:sz="4" w:space="0" w:color="auto"/>
              <w:bottom w:val="single" w:sz="4" w:space="0" w:color="auto"/>
              <w:right w:val="single" w:sz="4" w:space="0" w:color="auto"/>
            </w:tcBorders>
            <w:vAlign w:val="center"/>
          </w:tcPr>
          <w:p w14:paraId="72B5BD9E"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14D27EC3" w14:textId="52B99EEE" w:rsidR="00203EBB" w:rsidRPr="00D86796" w:rsidRDefault="001A190D" w:rsidP="00D86796">
            <w:pPr>
              <w:jc w:val="right"/>
              <w:rPr>
                <w:rFonts w:cstheme="minorHAnsi"/>
                <w:sz w:val="24"/>
                <w:szCs w:val="24"/>
              </w:rPr>
            </w:pPr>
            <w:r>
              <w:rPr>
                <w:rFonts w:cstheme="minorHAnsi"/>
                <w:color w:val="000000"/>
                <w:sz w:val="24"/>
                <w:szCs w:val="24"/>
              </w:rPr>
              <w:t>$</w:t>
            </w:r>
            <w:r w:rsidR="00203EBB" w:rsidRPr="00D86796">
              <w:rPr>
                <w:rFonts w:cstheme="minorHAnsi"/>
                <w:color w:val="000000"/>
                <w:sz w:val="24"/>
                <w:szCs w:val="24"/>
              </w:rPr>
              <w:t xml:space="preserve">88,910.67 </w:t>
            </w:r>
          </w:p>
        </w:tc>
      </w:tr>
      <w:tr w:rsidR="00203EBB" w:rsidRPr="00D86796" w14:paraId="2E51CF6C"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766FAA88" w14:textId="77777777" w:rsidR="00203EBB" w:rsidRPr="00D86796" w:rsidRDefault="00203EBB" w:rsidP="000377B1">
            <w:pPr>
              <w:rPr>
                <w:rFonts w:cstheme="minorHAnsi"/>
                <w:sz w:val="24"/>
                <w:szCs w:val="24"/>
              </w:rPr>
            </w:pPr>
            <w:r w:rsidRPr="00D86796">
              <w:rPr>
                <w:rFonts w:cstheme="minorHAnsi"/>
                <w:color w:val="000000"/>
                <w:sz w:val="24"/>
                <w:szCs w:val="24"/>
              </w:rPr>
              <w:t>Covington Independent Public Schools</w:t>
            </w:r>
          </w:p>
        </w:tc>
        <w:tc>
          <w:tcPr>
            <w:tcW w:w="3555" w:type="dxa"/>
            <w:tcBorders>
              <w:top w:val="nil"/>
              <w:left w:val="single" w:sz="4" w:space="0" w:color="auto"/>
              <w:bottom w:val="single" w:sz="4" w:space="0" w:color="auto"/>
              <w:right w:val="single" w:sz="4" w:space="0" w:color="auto"/>
            </w:tcBorders>
            <w:vAlign w:val="center"/>
          </w:tcPr>
          <w:p w14:paraId="274EDF2A"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34EE2017" w14:textId="78993DB7" w:rsidR="00203EBB" w:rsidRPr="00D86796" w:rsidRDefault="001A190D" w:rsidP="00D86796">
            <w:pPr>
              <w:jc w:val="right"/>
              <w:rPr>
                <w:rFonts w:cstheme="minorHAnsi"/>
                <w:sz w:val="24"/>
                <w:szCs w:val="24"/>
              </w:rPr>
            </w:pPr>
            <w:r>
              <w:rPr>
                <w:rFonts w:cstheme="minorHAnsi"/>
                <w:color w:val="000000"/>
                <w:sz w:val="24"/>
                <w:szCs w:val="24"/>
              </w:rPr>
              <w:t>$</w:t>
            </w:r>
            <w:r w:rsidR="00203EBB" w:rsidRPr="00D86796">
              <w:rPr>
                <w:rFonts w:cstheme="minorHAnsi"/>
                <w:color w:val="000000"/>
                <w:sz w:val="24"/>
                <w:szCs w:val="24"/>
              </w:rPr>
              <w:t xml:space="preserve">95,410.00 </w:t>
            </w:r>
          </w:p>
        </w:tc>
      </w:tr>
      <w:tr w:rsidR="00203EBB" w:rsidRPr="00D86796" w14:paraId="510B9AB7"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138F3D80" w14:textId="77777777" w:rsidR="00203EBB" w:rsidRPr="00D86796" w:rsidRDefault="00203EBB" w:rsidP="000377B1">
            <w:pPr>
              <w:rPr>
                <w:rFonts w:cstheme="minorHAnsi"/>
                <w:sz w:val="24"/>
                <w:szCs w:val="24"/>
              </w:rPr>
            </w:pPr>
            <w:r w:rsidRPr="00D86796">
              <w:rPr>
                <w:rFonts w:cstheme="minorHAnsi"/>
                <w:color w:val="000000"/>
                <w:sz w:val="24"/>
                <w:szCs w:val="24"/>
              </w:rPr>
              <w:t xml:space="preserve">Dayton Independent Schools </w:t>
            </w:r>
          </w:p>
        </w:tc>
        <w:tc>
          <w:tcPr>
            <w:tcW w:w="3555" w:type="dxa"/>
            <w:tcBorders>
              <w:top w:val="nil"/>
              <w:left w:val="single" w:sz="4" w:space="0" w:color="auto"/>
              <w:bottom w:val="single" w:sz="4" w:space="0" w:color="auto"/>
              <w:right w:val="single" w:sz="4" w:space="0" w:color="auto"/>
            </w:tcBorders>
            <w:vAlign w:val="center"/>
          </w:tcPr>
          <w:p w14:paraId="05F0D56D" w14:textId="77777777" w:rsidR="00203EBB" w:rsidRPr="00D86796" w:rsidRDefault="00203EBB" w:rsidP="000377B1">
            <w:pPr>
              <w:rPr>
                <w:rFonts w:cstheme="minorHAnsi"/>
                <w:color w:val="000000"/>
                <w:sz w:val="24"/>
                <w:szCs w:val="24"/>
              </w:rPr>
            </w:pPr>
            <w:r w:rsidRPr="00D86796">
              <w:rPr>
                <w:rFonts w:cstheme="minorHAnsi"/>
                <w:color w:val="000000"/>
                <w:sz w:val="24"/>
                <w:szCs w:val="24"/>
              </w:rPr>
              <w:t>Bellevue Independent</w:t>
            </w:r>
          </w:p>
          <w:p w14:paraId="267C831D" w14:textId="450FF538" w:rsidR="00203EBB" w:rsidRPr="00D86796" w:rsidRDefault="00203EBB" w:rsidP="000377B1">
            <w:pPr>
              <w:rPr>
                <w:rFonts w:cstheme="minorHAnsi"/>
                <w:color w:val="000000"/>
                <w:sz w:val="24"/>
                <w:szCs w:val="24"/>
              </w:rPr>
            </w:pPr>
            <w:r w:rsidRPr="00D86796">
              <w:rPr>
                <w:rFonts w:cstheme="minorHAnsi"/>
                <w:color w:val="000000"/>
                <w:sz w:val="24"/>
                <w:szCs w:val="24"/>
              </w:rPr>
              <w:t xml:space="preserve">Southgate Independent </w:t>
            </w:r>
          </w:p>
        </w:tc>
        <w:tc>
          <w:tcPr>
            <w:tcW w:w="1890" w:type="dxa"/>
            <w:tcBorders>
              <w:top w:val="nil"/>
              <w:left w:val="single" w:sz="4" w:space="0" w:color="auto"/>
              <w:bottom w:val="single" w:sz="4" w:space="0" w:color="auto"/>
              <w:right w:val="single" w:sz="4" w:space="0" w:color="auto"/>
            </w:tcBorders>
            <w:shd w:val="clear" w:color="auto" w:fill="auto"/>
            <w:vAlign w:val="center"/>
          </w:tcPr>
          <w:p w14:paraId="7937141D" w14:textId="4AE272CE" w:rsidR="00203EBB" w:rsidRPr="00D86796" w:rsidRDefault="001A190D" w:rsidP="00D86796">
            <w:pPr>
              <w:jc w:val="right"/>
              <w:rPr>
                <w:rFonts w:cstheme="minorHAnsi"/>
                <w:sz w:val="24"/>
                <w:szCs w:val="24"/>
              </w:rPr>
            </w:pPr>
            <w:r>
              <w:rPr>
                <w:rFonts w:cstheme="minorHAnsi"/>
                <w:color w:val="000000"/>
                <w:sz w:val="24"/>
                <w:szCs w:val="24"/>
              </w:rPr>
              <w:t>$</w:t>
            </w:r>
            <w:r w:rsidR="00203EBB" w:rsidRPr="00D86796">
              <w:rPr>
                <w:rFonts w:cstheme="minorHAnsi"/>
                <w:color w:val="000000"/>
                <w:sz w:val="24"/>
                <w:szCs w:val="24"/>
              </w:rPr>
              <w:t xml:space="preserve">107,215.00 </w:t>
            </w:r>
          </w:p>
        </w:tc>
      </w:tr>
      <w:tr w:rsidR="00203EBB" w:rsidRPr="00D86796" w14:paraId="30957DD1"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453B33D3" w14:textId="77777777" w:rsidR="00203EBB" w:rsidRPr="00D86796" w:rsidRDefault="00203EBB" w:rsidP="000377B1">
            <w:pPr>
              <w:rPr>
                <w:rFonts w:cstheme="minorHAnsi"/>
                <w:sz w:val="24"/>
                <w:szCs w:val="24"/>
              </w:rPr>
            </w:pPr>
            <w:r w:rsidRPr="00D86796">
              <w:rPr>
                <w:rFonts w:cstheme="minorHAnsi"/>
                <w:color w:val="000000"/>
                <w:sz w:val="24"/>
                <w:szCs w:val="24"/>
              </w:rPr>
              <w:t>Eminence Independent</w:t>
            </w:r>
          </w:p>
        </w:tc>
        <w:tc>
          <w:tcPr>
            <w:tcW w:w="3555" w:type="dxa"/>
            <w:tcBorders>
              <w:top w:val="nil"/>
              <w:left w:val="single" w:sz="4" w:space="0" w:color="auto"/>
              <w:bottom w:val="single" w:sz="4" w:space="0" w:color="auto"/>
              <w:right w:val="single" w:sz="4" w:space="0" w:color="auto"/>
            </w:tcBorders>
            <w:vAlign w:val="center"/>
          </w:tcPr>
          <w:p w14:paraId="70025F10"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0B3FFB39" w14:textId="00C6A795" w:rsidR="00203EBB" w:rsidRPr="00D86796" w:rsidRDefault="00203EBB" w:rsidP="00D86796">
            <w:pPr>
              <w:jc w:val="right"/>
              <w:rPr>
                <w:rFonts w:cstheme="minorHAnsi"/>
                <w:sz w:val="24"/>
                <w:szCs w:val="24"/>
              </w:rPr>
            </w:pPr>
            <w:r w:rsidRPr="00D86796">
              <w:rPr>
                <w:rFonts w:cstheme="minorHAnsi"/>
                <w:color w:val="000000"/>
                <w:sz w:val="24"/>
                <w:szCs w:val="24"/>
              </w:rPr>
              <w:t xml:space="preserve"> </w:t>
            </w:r>
            <w:r w:rsidR="001A190D">
              <w:rPr>
                <w:rFonts w:cstheme="minorHAnsi"/>
                <w:color w:val="000000"/>
                <w:sz w:val="24"/>
                <w:szCs w:val="24"/>
              </w:rPr>
              <w:t>$</w:t>
            </w:r>
            <w:r w:rsidRPr="00D86796">
              <w:rPr>
                <w:rFonts w:cstheme="minorHAnsi"/>
                <w:color w:val="000000"/>
                <w:sz w:val="24"/>
                <w:szCs w:val="24"/>
              </w:rPr>
              <w:t xml:space="preserve">65,000.00 </w:t>
            </w:r>
          </w:p>
        </w:tc>
      </w:tr>
      <w:tr w:rsidR="00203EBB" w:rsidRPr="00D86796" w14:paraId="144FA29C"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72089908" w14:textId="77777777" w:rsidR="00203EBB" w:rsidRPr="00D86796" w:rsidRDefault="00203EBB" w:rsidP="000377B1">
            <w:pPr>
              <w:rPr>
                <w:rFonts w:cstheme="minorHAnsi"/>
                <w:sz w:val="24"/>
                <w:szCs w:val="24"/>
              </w:rPr>
            </w:pPr>
            <w:r w:rsidRPr="00D86796">
              <w:rPr>
                <w:rFonts w:cstheme="minorHAnsi"/>
                <w:color w:val="000000"/>
                <w:sz w:val="24"/>
                <w:szCs w:val="24"/>
              </w:rPr>
              <w:t>Fayette County Public Schools</w:t>
            </w:r>
          </w:p>
        </w:tc>
        <w:tc>
          <w:tcPr>
            <w:tcW w:w="3555" w:type="dxa"/>
            <w:tcBorders>
              <w:top w:val="nil"/>
              <w:left w:val="single" w:sz="4" w:space="0" w:color="auto"/>
              <w:bottom w:val="single" w:sz="4" w:space="0" w:color="auto"/>
              <w:right w:val="single" w:sz="4" w:space="0" w:color="auto"/>
            </w:tcBorders>
            <w:vAlign w:val="center"/>
          </w:tcPr>
          <w:p w14:paraId="32573B98"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4EE3CD81" w14:textId="07B2FB6B" w:rsidR="00203EBB" w:rsidRPr="00D86796" w:rsidRDefault="001A190D" w:rsidP="00D86796">
            <w:pPr>
              <w:jc w:val="right"/>
              <w:rPr>
                <w:rFonts w:cstheme="minorHAnsi"/>
                <w:sz w:val="24"/>
                <w:szCs w:val="24"/>
              </w:rPr>
            </w:pPr>
            <w:r>
              <w:rPr>
                <w:rFonts w:cstheme="minorHAnsi"/>
                <w:color w:val="000000"/>
                <w:sz w:val="24"/>
                <w:szCs w:val="24"/>
              </w:rPr>
              <w:t>$</w:t>
            </w:r>
            <w:r w:rsidR="00203EBB" w:rsidRPr="00D86796">
              <w:rPr>
                <w:rFonts w:cstheme="minorHAnsi"/>
                <w:color w:val="000000"/>
                <w:sz w:val="24"/>
                <w:szCs w:val="24"/>
              </w:rPr>
              <w:t xml:space="preserve">101,500.00 </w:t>
            </w:r>
          </w:p>
        </w:tc>
      </w:tr>
      <w:tr w:rsidR="00203EBB" w:rsidRPr="00D86796" w14:paraId="3FD6D454"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4E1DFEDB" w14:textId="77777777" w:rsidR="00203EBB" w:rsidRPr="00D86796" w:rsidRDefault="00203EBB" w:rsidP="000377B1">
            <w:pPr>
              <w:rPr>
                <w:rFonts w:cstheme="minorHAnsi"/>
                <w:sz w:val="24"/>
                <w:szCs w:val="24"/>
              </w:rPr>
            </w:pPr>
            <w:r w:rsidRPr="00D86796">
              <w:rPr>
                <w:rFonts w:cstheme="minorHAnsi"/>
                <w:color w:val="000000"/>
                <w:sz w:val="24"/>
                <w:szCs w:val="24"/>
              </w:rPr>
              <w:t>Jefferson County Public Schools</w:t>
            </w:r>
          </w:p>
        </w:tc>
        <w:tc>
          <w:tcPr>
            <w:tcW w:w="3555" w:type="dxa"/>
            <w:tcBorders>
              <w:top w:val="nil"/>
              <w:left w:val="single" w:sz="4" w:space="0" w:color="auto"/>
              <w:bottom w:val="single" w:sz="4" w:space="0" w:color="auto"/>
              <w:right w:val="single" w:sz="4" w:space="0" w:color="auto"/>
            </w:tcBorders>
            <w:vAlign w:val="center"/>
          </w:tcPr>
          <w:p w14:paraId="3DBC3C93"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6FC6FCA2" w14:textId="2B207453" w:rsidR="00203EBB" w:rsidRPr="00D86796" w:rsidRDefault="00203EBB" w:rsidP="00D86796">
            <w:pPr>
              <w:jc w:val="right"/>
              <w:rPr>
                <w:rFonts w:cstheme="minorHAnsi"/>
                <w:sz w:val="24"/>
                <w:szCs w:val="24"/>
              </w:rPr>
            </w:pPr>
            <w:r w:rsidRPr="00D86796">
              <w:rPr>
                <w:rFonts w:cstheme="minorHAnsi"/>
                <w:color w:val="000000"/>
                <w:sz w:val="24"/>
                <w:szCs w:val="24"/>
              </w:rPr>
              <w:t xml:space="preserve"> </w:t>
            </w:r>
            <w:r w:rsidR="001A190D">
              <w:rPr>
                <w:rFonts w:cstheme="minorHAnsi"/>
                <w:color w:val="000000"/>
                <w:sz w:val="24"/>
                <w:szCs w:val="24"/>
              </w:rPr>
              <w:t>$</w:t>
            </w:r>
            <w:r w:rsidRPr="00D86796">
              <w:rPr>
                <w:rFonts w:cstheme="minorHAnsi"/>
                <w:color w:val="000000"/>
                <w:sz w:val="24"/>
                <w:szCs w:val="24"/>
              </w:rPr>
              <w:t xml:space="preserve">237,051.00 </w:t>
            </w:r>
          </w:p>
        </w:tc>
      </w:tr>
      <w:tr w:rsidR="00203EBB" w:rsidRPr="00D86796" w14:paraId="3EDD9E52"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2F9C6F90" w14:textId="77777777" w:rsidR="00203EBB" w:rsidRPr="00D86796" w:rsidRDefault="00203EBB" w:rsidP="000377B1">
            <w:pPr>
              <w:rPr>
                <w:rFonts w:cstheme="minorHAnsi"/>
                <w:sz w:val="24"/>
                <w:szCs w:val="24"/>
              </w:rPr>
            </w:pPr>
            <w:r w:rsidRPr="00D86796">
              <w:rPr>
                <w:rFonts w:cstheme="minorHAnsi"/>
                <w:color w:val="000000"/>
                <w:sz w:val="24"/>
                <w:szCs w:val="24"/>
              </w:rPr>
              <w:t>Marshall County School District</w:t>
            </w:r>
          </w:p>
        </w:tc>
        <w:tc>
          <w:tcPr>
            <w:tcW w:w="3555" w:type="dxa"/>
            <w:tcBorders>
              <w:top w:val="nil"/>
              <w:left w:val="single" w:sz="4" w:space="0" w:color="auto"/>
              <w:bottom w:val="single" w:sz="4" w:space="0" w:color="auto"/>
              <w:right w:val="single" w:sz="4" w:space="0" w:color="auto"/>
            </w:tcBorders>
            <w:vAlign w:val="center"/>
          </w:tcPr>
          <w:p w14:paraId="0EAC515A"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1F70A102" w14:textId="41935667" w:rsidR="00203EBB" w:rsidRPr="00D86796" w:rsidRDefault="001A190D" w:rsidP="00D86796">
            <w:pPr>
              <w:jc w:val="right"/>
              <w:rPr>
                <w:rFonts w:cstheme="minorHAnsi"/>
                <w:sz w:val="24"/>
                <w:szCs w:val="24"/>
              </w:rPr>
            </w:pPr>
            <w:r>
              <w:rPr>
                <w:rFonts w:cstheme="minorHAnsi"/>
                <w:color w:val="000000"/>
                <w:sz w:val="24"/>
                <w:szCs w:val="24"/>
              </w:rPr>
              <w:t>$</w:t>
            </w:r>
            <w:r w:rsidR="00203EBB" w:rsidRPr="00D86796">
              <w:rPr>
                <w:rFonts w:cstheme="minorHAnsi"/>
                <w:color w:val="000000"/>
                <w:sz w:val="24"/>
                <w:szCs w:val="24"/>
              </w:rPr>
              <w:t xml:space="preserve">77,489.00 </w:t>
            </w:r>
          </w:p>
        </w:tc>
      </w:tr>
      <w:tr w:rsidR="00203EBB" w:rsidRPr="00D86796" w14:paraId="6DEFC73C"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570F8C66" w14:textId="77777777" w:rsidR="00203EBB" w:rsidRPr="00D86796" w:rsidRDefault="00203EBB" w:rsidP="000377B1">
            <w:pPr>
              <w:rPr>
                <w:rFonts w:cstheme="minorHAnsi"/>
                <w:sz w:val="24"/>
                <w:szCs w:val="24"/>
              </w:rPr>
            </w:pPr>
            <w:r w:rsidRPr="00D86796">
              <w:rPr>
                <w:rFonts w:cstheme="minorHAnsi"/>
                <w:color w:val="000000"/>
                <w:sz w:val="24"/>
                <w:szCs w:val="24"/>
              </w:rPr>
              <w:t>Newport Independent Schools</w:t>
            </w:r>
          </w:p>
        </w:tc>
        <w:tc>
          <w:tcPr>
            <w:tcW w:w="3555" w:type="dxa"/>
            <w:tcBorders>
              <w:top w:val="nil"/>
              <w:left w:val="single" w:sz="4" w:space="0" w:color="auto"/>
              <w:bottom w:val="single" w:sz="4" w:space="0" w:color="auto"/>
              <w:right w:val="single" w:sz="4" w:space="0" w:color="auto"/>
            </w:tcBorders>
            <w:vAlign w:val="center"/>
          </w:tcPr>
          <w:p w14:paraId="1FA74DF1" w14:textId="77777777" w:rsidR="00203EBB" w:rsidRPr="00D86796" w:rsidRDefault="00203EBB" w:rsidP="000377B1">
            <w:pPr>
              <w:rPr>
                <w:rFonts w:cstheme="minorHAnsi"/>
                <w:color w:val="000000"/>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0A8A1261" w14:textId="59769457" w:rsidR="00203EBB" w:rsidRPr="00D86796" w:rsidRDefault="00203EBB" w:rsidP="00D86796">
            <w:pPr>
              <w:jc w:val="right"/>
              <w:rPr>
                <w:rFonts w:cstheme="minorHAnsi"/>
                <w:sz w:val="24"/>
                <w:szCs w:val="24"/>
              </w:rPr>
            </w:pPr>
            <w:r w:rsidRPr="00D86796">
              <w:rPr>
                <w:rFonts w:cstheme="minorHAnsi"/>
                <w:color w:val="000000"/>
                <w:sz w:val="24"/>
                <w:szCs w:val="24"/>
              </w:rPr>
              <w:t xml:space="preserve"> $99,000.00 </w:t>
            </w:r>
          </w:p>
        </w:tc>
      </w:tr>
      <w:tr w:rsidR="00203EBB" w:rsidRPr="00D86796" w14:paraId="43092677" w14:textId="77777777" w:rsidTr="00D03253">
        <w:trPr>
          <w:trHeight w:val="586"/>
        </w:trPr>
        <w:tc>
          <w:tcPr>
            <w:tcW w:w="3555" w:type="dxa"/>
            <w:tcBorders>
              <w:top w:val="nil"/>
              <w:left w:val="single" w:sz="8" w:space="0" w:color="auto"/>
              <w:bottom w:val="single" w:sz="8" w:space="0" w:color="auto"/>
              <w:right w:val="single" w:sz="8" w:space="0" w:color="auto"/>
            </w:tcBorders>
            <w:shd w:val="clear" w:color="000000" w:fill="FFFFFF"/>
            <w:vAlign w:val="center"/>
          </w:tcPr>
          <w:p w14:paraId="22BB4B40" w14:textId="77777777" w:rsidR="00203EBB" w:rsidRPr="00D86796" w:rsidRDefault="00203EBB" w:rsidP="000377B1">
            <w:pPr>
              <w:rPr>
                <w:rFonts w:cstheme="minorHAnsi"/>
                <w:sz w:val="24"/>
                <w:szCs w:val="24"/>
              </w:rPr>
            </w:pPr>
            <w:r w:rsidRPr="00D86796">
              <w:rPr>
                <w:rFonts w:cstheme="minorHAnsi"/>
                <w:color w:val="000000"/>
                <w:sz w:val="24"/>
                <w:szCs w:val="24"/>
              </w:rPr>
              <w:t>Paducah Public Schools</w:t>
            </w:r>
          </w:p>
        </w:tc>
        <w:tc>
          <w:tcPr>
            <w:tcW w:w="3555" w:type="dxa"/>
            <w:tcBorders>
              <w:top w:val="nil"/>
              <w:left w:val="single" w:sz="4" w:space="0" w:color="auto"/>
              <w:bottom w:val="single" w:sz="4" w:space="0" w:color="auto"/>
              <w:right w:val="single" w:sz="4" w:space="0" w:color="auto"/>
            </w:tcBorders>
            <w:vAlign w:val="center"/>
          </w:tcPr>
          <w:p w14:paraId="4F237390" w14:textId="02A6623B" w:rsidR="00203EBB" w:rsidRPr="00D86796" w:rsidRDefault="00203EBB" w:rsidP="000377B1">
            <w:pPr>
              <w:rPr>
                <w:rFonts w:cstheme="minorHAnsi"/>
                <w:color w:val="000000"/>
                <w:sz w:val="24"/>
                <w:szCs w:val="24"/>
              </w:rPr>
            </w:pPr>
            <w:r w:rsidRPr="00D86796">
              <w:rPr>
                <w:rFonts w:cstheme="minorHAnsi"/>
                <w:color w:val="000000"/>
                <w:sz w:val="24"/>
                <w:szCs w:val="24"/>
              </w:rPr>
              <w:t xml:space="preserve">McCracken County </w:t>
            </w:r>
          </w:p>
        </w:tc>
        <w:tc>
          <w:tcPr>
            <w:tcW w:w="1890" w:type="dxa"/>
            <w:tcBorders>
              <w:top w:val="nil"/>
              <w:left w:val="single" w:sz="4" w:space="0" w:color="auto"/>
              <w:bottom w:val="single" w:sz="4" w:space="0" w:color="auto"/>
              <w:right w:val="single" w:sz="4" w:space="0" w:color="auto"/>
            </w:tcBorders>
            <w:shd w:val="clear" w:color="auto" w:fill="auto"/>
            <w:vAlign w:val="center"/>
          </w:tcPr>
          <w:p w14:paraId="064292DF" w14:textId="4C52D094" w:rsidR="00203EBB" w:rsidRPr="00D86796" w:rsidRDefault="00203EBB" w:rsidP="00D86796">
            <w:pPr>
              <w:jc w:val="right"/>
              <w:rPr>
                <w:rFonts w:cstheme="minorHAnsi"/>
                <w:sz w:val="24"/>
                <w:szCs w:val="24"/>
              </w:rPr>
            </w:pPr>
            <w:r w:rsidRPr="00D86796">
              <w:rPr>
                <w:rFonts w:cstheme="minorHAnsi"/>
                <w:color w:val="000000"/>
                <w:sz w:val="24"/>
                <w:szCs w:val="24"/>
              </w:rPr>
              <w:t xml:space="preserve"> $130,865.40 </w:t>
            </w:r>
          </w:p>
        </w:tc>
      </w:tr>
      <w:tr w:rsidR="00203EBB" w:rsidRPr="00D86796" w14:paraId="2EF73891" w14:textId="77777777" w:rsidTr="00D03253">
        <w:trPr>
          <w:trHeight w:val="586"/>
        </w:trPr>
        <w:tc>
          <w:tcPr>
            <w:tcW w:w="3555" w:type="dxa"/>
            <w:tcBorders>
              <w:top w:val="single" w:sz="8" w:space="0" w:color="auto"/>
              <w:left w:val="single" w:sz="8" w:space="0" w:color="auto"/>
              <w:bottom w:val="single" w:sz="8" w:space="0" w:color="auto"/>
              <w:right w:val="single" w:sz="8" w:space="0" w:color="auto"/>
            </w:tcBorders>
            <w:shd w:val="clear" w:color="000000" w:fill="FFFFFF"/>
            <w:vAlign w:val="center"/>
          </w:tcPr>
          <w:p w14:paraId="51157893" w14:textId="77777777" w:rsidR="00203EBB" w:rsidRPr="00D86796" w:rsidRDefault="00203EBB" w:rsidP="000377B1">
            <w:pPr>
              <w:rPr>
                <w:rFonts w:cstheme="minorHAnsi"/>
                <w:sz w:val="24"/>
                <w:szCs w:val="24"/>
              </w:rPr>
            </w:pPr>
            <w:r w:rsidRPr="00D86796">
              <w:rPr>
                <w:rFonts w:cstheme="minorHAnsi"/>
                <w:color w:val="000000"/>
                <w:sz w:val="24"/>
                <w:szCs w:val="24"/>
              </w:rPr>
              <w:t>Whitley County School District</w:t>
            </w:r>
          </w:p>
        </w:tc>
        <w:tc>
          <w:tcPr>
            <w:tcW w:w="3555" w:type="dxa"/>
            <w:tcBorders>
              <w:top w:val="single" w:sz="4" w:space="0" w:color="auto"/>
              <w:left w:val="single" w:sz="4" w:space="0" w:color="auto"/>
              <w:bottom w:val="single" w:sz="4" w:space="0" w:color="auto"/>
              <w:right w:val="single" w:sz="4" w:space="0" w:color="auto"/>
            </w:tcBorders>
            <w:vAlign w:val="center"/>
          </w:tcPr>
          <w:p w14:paraId="68913201" w14:textId="77777777" w:rsidR="00203EBB" w:rsidRPr="00D86796" w:rsidRDefault="00203EBB" w:rsidP="000377B1">
            <w:pPr>
              <w:rPr>
                <w:rFonts w:cstheme="minorHAns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FBF74F9" w14:textId="28C49DBB" w:rsidR="00203EBB" w:rsidRPr="00D86796" w:rsidRDefault="00203EBB" w:rsidP="00D86796">
            <w:pPr>
              <w:jc w:val="right"/>
              <w:rPr>
                <w:rFonts w:cstheme="minorHAnsi"/>
                <w:sz w:val="24"/>
                <w:szCs w:val="24"/>
              </w:rPr>
            </w:pPr>
            <w:r w:rsidRPr="00D86796">
              <w:rPr>
                <w:rFonts w:cstheme="minorHAnsi"/>
                <w:color w:val="000000"/>
                <w:sz w:val="24"/>
                <w:szCs w:val="24"/>
              </w:rPr>
              <w:t xml:space="preserve"> $77,496.15 </w:t>
            </w:r>
          </w:p>
        </w:tc>
      </w:tr>
    </w:tbl>
    <w:p w14:paraId="2254B38D" w14:textId="12894FE4" w:rsidR="00A15066" w:rsidRDefault="00A15066"/>
    <w:p w14:paraId="7629EF12" w14:textId="09987768" w:rsidR="002B01FF" w:rsidRPr="00CA0F3E" w:rsidRDefault="004A6FCF" w:rsidP="00BC1E0D">
      <w:pPr>
        <w:tabs>
          <w:tab w:val="left" w:pos="1992"/>
        </w:tabs>
        <w:rPr>
          <w:sz w:val="28"/>
          <w:szCs w:val="28"/>
        </w:rPr>
      </w:pPr>
      <w:r w:rsidRPr="004A6FCF">
        <w:rPr>
          <w:rFonts w:eastAsia="Times New Roman"/>
          <w:sz w:val="28"/>
          <w:szCs w:val="28"/>
          <w:vertAlign w:val="superscript"/>
        </w:rPr>
        <w:t>*</w:t>
      </w:r>
      <w:r w:rsidR="002B01FF" w:rsidRPr="002B01FF">
        <w:rPr>
          <w:rFonts w:eastAsia="Times New Roman"/>
          <w:sz w:val="28"/>
          <w:szCs w:val="28"/>
        </w:rPr>
        <w:t xml:space="preserve">Awards amounts are tentative and subject to change based on the final award notification from the U.S. Department of Education. </w:t>
      </w:r>
      <w:r w:rsidR="002B01FF" w:rsidRPr="002B01FF">
        <w:rPr>
          <w:sz w:val="28"/>
          <w:szCs w:val="28"/>
        </w:rPr>
        <w:t>Awards are also contingent upon Homeless Administrator review of grant application and other conditions as deemed necessary which may include budget amendments based on requirements of the RFA. Posting should not be considered final notice of award</w:t>
      </w:r>
      <w:r w:rsidR="002B01FF" w:rsidRPr="00CA0F3E">
        <w:rPr>
          <w:b/>
          <w:sz w:val="28"/>
          <w:szCs w:val="28"/>
        </w:rPr>
        <w:t>.</w:t>
      </w:r>
    </w:p>
    <w:p w14:paraId="39185963" w14:textId="77777777" w:rsidR="002B01FF" w:rsidRDefault="002B01FF"/>
    <w:sectPr w:rsidR="002B0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66"/>
    <w:rsid w:val="000377B1"/>
    <w:rsid w:val="0011569A"/>
    <w:rsid w:val="001A190D"/>
    <w:rsid w:val="00203EBB"/>
    <w:rsid w:val="002502EF"/>
    <w:rsid w:val="002A7311"/>
    <w:rsid w:val="002B01FF"/>
    <w:rsid w:val="002D78C5"/>
    <w:rsid w:val="003F2932"/>
    <w:rsid w:val="004A6FCF"/>
    <w:rsid w:val="004C07C7"/>
    <w:rsid w:val="005257CE"/>
    <w:rsid w:val="005D0607"/>
    <w:rsid w:val="007E25DB"/>
    <w:rsid w:val="008C2A23"/>
    <w:rsid w:val="00A074D4"/>
    <w:rsid w:val="00A15066"/>
    <w:rsid w:val="00AD4F96"/>
    <w:rsid w:val="00B16CFF"/>
    <w:rsid w:val="00B62662"/>
    <w:rsid w:val="00BC1E0D"/>
    <w:rsid w:val="00C57478"/>
    <w:rsid w:val="00D03253"/>
    <w:rsid w:val="00D86796"/>
    <w:rsid w:val="00FE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0BE9"/>
  <w15:chartTrackingRefBased/>
  <w15:docId w15:val="{E6917E2E-C961-411F-A291-00985A3E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2021-07-01T04:00:00+00:00</Publication_x0020_Date>
    <Audience1 xmlns="3a62de7d-ba57-4f43-9dae-9623ba637be0">
      <Value>1</Value>
      <Value>2</Value>
      <Value>10</Value>
    </Audience1>
    <_dlc_DocId xmlns="3a62de7d-ba57-4f43-9dae-9623ba637be0">KYED-320-706</_dlc_DocId>
    <_dlc_DocIdUrl xmlns="3a62de7d-ba57-4f43-9dae-9623ba637be0">
      <Url>https://www.education.ky.gov/districts/business/_layouts/15/DocIdRedir.aspx?ID=KYED-320-706</Url>
      <Description>KYED-320-706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16009D-0ABE-4584-9840-217FE6372110}"/>
</file>

<file path=customXml/itemProps2.xml><?xml version="1.0" encoding="utf-8"?>
<ds:datastoreItem xmlns:ds="http://schemas.openxmlformats.org/officeDocument/2006/customXml" ds:itemID="{D64BA58F-FA37-45A0-98B2-D9BF0E3A66A9}">
  <ds:schemaRefs>
    <ds:schemaRef ds:uri="http://schemas.microsoft.com/sharepoint/v3/contenttype/forms"/>
  </ds:schemaRefs>
</ds:datastoreItem>
</file>

<file path=customXml/itemProps3.xml><?xml version="1.0" encoding="utf-8"?>
<ds:datastoreItem xmlns:ds="http://schemas.openxmlformats.org/officeDocument/2006/customXml" ds:itemID="{0B0F1C48-E864-4E50-ADC1-BFEE288FA5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006D7-A51D-4265-94B8-7601E2441E6C}"/>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Kendall, Jason - Division of Budget and Financial Management</cp:lastModifiedBy>
  <cp:revision>2</cp:revision>
  <dcterms:created xsi:type="dcterms:W3CDTF">2021-07-01T19:29:00Z</dcterms:created>
  <dcterms:modified xsi:type="dcterms:W3CDTF">2021-07-01T19:29:00Z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c618144b-d636-406d-a218-c1e941312415</vt:lpwstr>
  </property>
</Properties>
</file>