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07AF" w14:textId="065C7E7D" w:rsidR="00533A95" w:rsidRPr="008D47B0" w:rsidRDefault="008D47B0">
      <w:pPr>
        <w:rPr>
          <w:b/>
          <w:bCs/>
        </w:rPr>
      </w:pPr>
      <w:r w:rsidRPr="008D47B0">
        <w:rPr>
          <w:b/>
          <w:bCs/>
        </w:rPr>
        <w:t>FAQ</w:t>
      </w:r>
    </w:p>
    <w:p w14:paraId="4D0B2F91" w14:textId="5E09122A" w:rsidR="008D47B0" w:rsidRPr="008D47B0" w:rsidRDefault="566FE065" w:rsidP="6D6F6C58">
      <w:pPr>
        <w:rPr>
          <w:b/>
          <w:bCs/>
        </w:rPr>
      </w:pPr>
      <w:r w:rsidRPr="6D6F6C58">
        <w:rPr>
          <w:b/>
          <w:bCs/>
        </w:rPr>
        <w:t>FY26 Migrant Regional Service Centers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6D6F6C58" w14:paraId="1CC0D459" w14:textId="77777777" w:rsidTr="6D6F6C58">
        <w:trPr>
          <w:trHeight w:val="300"/>
        </w:trPr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6554" w14:textId="38BE6D95" w:rsidR="6D6F6C58" w:rsidRDefault="6D6F6C58" w:rsidP="6D6F6C5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6D6F6C58">
              <w:rPr>
                <w:rFonts w:ascii="Aptos" w:eastAsia="Aptos" w:hAnsi="Aptos" w:cs="Aptos"/>
                <w:sz w:val="22"/>
                <w:szCs w:val="22"/>
              </w:rPr>
              <w:t xml:space="preserve">Please explain the location requirement for the regional service center and </w:t>
            </w:r>
            <w:r w:rsidR="003D7CEC">
              <w:rPr>
                <w:rFonts w:ascii="Aptos" w:eastAsia="Aptos" w:hAnsi="Aptos" w:cs="Aptos"/>
                <w:sz w:val="22"/>
                <w:szCs w:val="22"/>
              </w:rPr>
              <w:t xml:space="preserve">the </w:t>
            </w:r>
            <w:r w:rsidRPr="6D6F6C58">
              <w:rPr>
                <w:rFonts w:ascii="Aptos" w:eastAsia="Aptos" w:hAnsi="Aptos" w:cs="Aptos"/>
                <w:sz w:val="22"/>
                <w:szCs w:val="22"/>
              </w:rPr>
              <w:t xml:space="preserve">reasoning. </w:t>
            </w:r>
            <w:r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 xml:space="preserve">Centers must be able to provide direct, in-person </w:t>
            </w:r>
            <w:r w:rsidR="00BB2477"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>recruitment</w:t>
            </w:r>
            <w:r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 xml:space="preserve"> and student and family services.  Therefore, each center must be located within the region to be </w:t>
            </w:r>
            <w:r w:rsidR="131C170B"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>served,</w:t>
            </w:r>
            <w:r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 xml:space="preserve"> or the center must be willing to provide a physically present workforce within the region to be served.</w:t>
            </w:r>
          </w:p>
        </w:tc>
      </w:tr>
      <w:tr w:rsidR="6D6F6C58" w14:paraId="13BE39CA" w14:textId="77777777" w:rsidTr="6D6F6C58">
        <w:trPr>
          <w:trHeight w:val="300"/>
        </w:trPr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E5B4A" w14:textId="7A126E5E" w:rsidR="00DE4C4F" w:rsidRPr="00DE4C4F" w:rsidRDefault="6D6F6C58" w:rsidP="6D6F6C5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6D6F6C58">
              <w:rPr>
                <w:rFonts w:ascii="Aptos" w:eastAsia="Aptos" w:hAnsi="Aptos" w:cs="Aptos"/>
                <w:sz w:val="22"/>
                <w:szCs w:val="22"/>
              </w:rPr>
              <w:t xml:space="preserve"> Just to clarify, there will be two regional MEP service centers in the Northern and Central regions, and the existing Western and Southern regions will remain under </w:t>
            </w:r>
            <w:r w:rsidR="00BB2477" w:rsidRPr="6D6F6C58">
              <w:rPr>
                <w:rFonts w:ascii="Aptos" w:eastAsia="Aptos" w:hAnsi="Aptos" w:cs="Aptos"/>
                <w:sz w:val="22"/>
                <w:szCs w:val="22"/>
              </w:rPr>
              <w:t>KDE,</w:t>
            </w:r>
            <w:r w:rsidRPr="6D6F6C58">
              <w:rPr>
                <w:rFonts w:ascii="Aptos" w:eastAsia="Aptos" w:hAnsi="Aptos" w:cs="Aptos"/>
                <w:sz w:val="22"/>
                <w:szCs w:val="22"/>
              </w:rPr>
              <w:t xml:space="preserve"> or will they become part of the other two regional centers?  </w:t>
            </w:r>
          </w:p>
          <w:p w14:paraId="224C8008" w14:textId="78899321" w:rsidR="6D6F6C58" w:rsidRDefault="6D6F6C58" w:rsidP="00DE4C4F">
            <w:pPr>
              <w:pStyle w:val="ListParagraph"/>
              <w:spacing w:after="0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  <w:r w:rsidRPr="6D6F6C58">
              <w:rPr>
                <w:rFonts w:ascii="Aptos" w:eastAsia="Aptos" w:hAnsi="Aptos" w:cs="Aptos"/>
                <w:color w:val="FF0000"/>
                <w:sz w:val="22"/>
                <w:szCs w:val="22"/>
              </w:rPr>
              <w:t>This RFA is for the Northern and Central service centers.  The Western and Southern centers will remain under KDE.</w:t>
            </w:r>
          </w:p>
        </w:tc>
      </w:tr>
    </w:tbl>
    <w:p w14:paraId="6A30D306" w14:textId="79A065C6" w:rsidR="008D47B0" w:rsidRPr="008D47B0" w:rsidRDefault="008D47B0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7ED3F2FC" w14:paraId="4E3C9582" w14:textId="77777777" w:rsidTr="7ED3F2FC">
        <w:trPr>
          <w:trHeight w:val="300"/>
        </w:trPr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F25C" w14:textId="1FD8CB3A" w:rsidR="7ED3F2FC" w:rsidRDefault="7ED3F2FC" w:rsidP="7ED3F2FC">
            <w:pPr>
              <w:spacing w:after="0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</w:p>
        </w:tc>
      </w:tr>
      <w:tr w:rsidR="7ED3F2FC" w14:paraId="2766DCF2" w14:textId="77777777" w:rsidTr="7ED3F2FC">
        <w:trPr>
          <w:trHeight w:val="300"/>
        </w:trPr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0D6A" w14:textId="3370A136" w:rsidR="7ED3F2FC" w:rsidRDefault="7ED3F2FC" w:rsidP="7ED3F2FC">
            <w:pPr>
              <w:spacing w:after="0"/>
              <w:rPr>
                <w:rFonts w:ascii="Aptos" w:eastAsia="Aptos" w:hAnsi="Aptos" w:cs="Aptos"/>
                <w:color w:val="FF0000"/>
                <w:sz w:val="22"/>
                <w:szCs w:val="22"/>
              </w:rPr>
            </w:pPr>
          </w:p>
        </w:tc>
      </w:tr>
    </w:tbl>
    <w:p w14:paraId="7614A628" w14:textId="3222631D" w:rsidR="7ED3F2FC" w:rsidRDefault="7ED3F2FC" w:rsidP="7ED3F2FC"/>
    <w:sectPr w:rsidR="7ED3F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1326"/>
    <w:multiLevelType w:val="hybridMultilevel"/>
    <w:tmpl w:val="EC9C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A414"/>
    <w:multiLevelType w:val="hybridMultilevel"/>
    <w:tmpl w:val="633670C0"/>
    <w:lvl w:ilvl="0" w:tplc="EC3A12CC">
      <w:start w:val="2"/>
      <w:numFmt w:val="decimal"/>
      <w:lvlText w:val="%1."/>
      <w:lvlJc w:val="left"/>
      <w:pPr>
        <w:ind w:left="720" w:hanging="360"/>
      </w:pPr>
    </w:lvl>
    <w:lvl w:ilvl="1" w:tplc="7A827174">
      <w:start w:val="1"/>
      <w:numFmt w:val="lowerLetter"/>
      <w:lvlText w:val="%2."/>
      <w:lvlJc w:val="left"/>
      <w:pPr>
        <w:ind w:left="1440" w:hanging="360"/>
      </w:pPr>
    </w:lvl>
    <w:lvl w:ilvl="2" w:tplc="DB10A944">
      <w:start w:val="1"/>
      <w:numFmt w:val="lowerRoman"/>
      <w:lvlText w:val="%3."/>
      <w:lvlJc w:val="right"/>
      <w:pPr>
        <w:ind w:left="2160" w:hanging="180"/>
      </w:pPr>
    </w:lvl>
    <w:lvl w:ilvl="3" w:tplc="36581C96">
      <w:start w:val="1"/>
      <w:numFmt w:val="decimal"/>
      <w:lvlText w:val="%4."/>
      <w:lvlJc w:val="left"/>
      <w:pPr>
        <w:ind w:left="2880" w:hanging="360"/>
      </w:pPr>
    </w:lvl>
    <w:lvl w:ilvl="4" w:tplc="E91C6FB2">
      <w:start w:val="1"/>
      <w:numFmt w:val="lowerLetter"/>
      <w:lvlText w:val="%5."/>
      <w:lvlJc w:val="left"/>
      <w:pPr>
        <w:ind w:left="3600" w:hanging="360"/>
      </w:pPr>
    </w:lvl>
    <w:lvl w:ilvl="5" w:tplc="641E7108">
      <w:start w:val="1"/>
      <w:numFmt w:val="lowerRoman"/>
      <w:lvlText w:val="%6."/>
      <w:lvlJc w:val="right"/>
      <w:pPr>
        <w:ind w:left="4320" w:hanging="180"/>
      </w:pPr>
    </w:lvl>
    <w:lvl w:ilvl="6" w:tplc="BE4C0038">
      <w:start w:val="1"/>
      <w:numFmt w:val="decimal"/>
      <w:lvlText w:val="%7."/>
      <w:lvlJc w:val="left"/>
      <w:pPr>
        <w:ind w:left="5040" w:hanging="360"/>
      </w:pPr>
    </w:lvl>
    <w:lvl w:ilvl="7" w:tplc="C5303662">
      <w:start w:val="1"/>
      <w:numFmt w:val="lowerLetter"/>
      <w:lvlText w:val="%8."/>
      <w:lvlJc w:val="left"/>
      <w:pPr>
        <w:ind w:left="5760" w:hanging="360"/>
      </w:pPr>
    </w:lvl>
    <w:lvl w:ilvl="8" w:tplc="C12A0C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64E7"/>
    <w:multiLevelType w:val="hybridMultilevel"/>
    <w:tmpl w:val="301ADB5E"/>
    <w:lvl w:ilvl="0" w:tplc="449C8DCA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1186F46">
      <w:start w:val="1"/>
      <w:numFmt w:val="lowerLetter"/>
      <w:lvlText w:val="%2."/>
      <w:lvlJc w:val="left"/>
      <w:pPr>
        <w:ind w:left="1440" w:hanging="360"/>
      </w:pPr>
    </w:lvl>
    <w:lvl w:ilvl="2" w:tplc="6D6E7F30">
      <w:start w:val="1"/>
      <w:numFmt w:val="lowerRoman"/>
      <w:lvlText w:val="%3."/>
      <w:lvlJc w:val="right"/>
      <w:pPr>
        <w:ind w:left="2160" w:hanging="180"/>
      </w:pPr>
    </w:lvl>
    <w:lvl w:ilvl="3" w:tplc="E2D0CB28">
      <w:start w:val="1"/>
      <w:numFmt w:val="decimal"/>
      <w:lvlText w:val="%4."/>
      <w:lvlJc w:val="left"/>
      <w:pPr>
        <w:ind w:left="2880" w:hanging="360"/>
      </w:pPr>
    </w:lvl>
    <w:lvl w:ilvl="4" w:tplc="7466D9F0">
      <w:start w:val="1"/>
      <w:numFmt w:val="lowerLetter"/>
      <w:lvlText w:val="%5."/>
      <w:lvlJc w:val="left"/>
      <w:pPr>
        <w:ind w:left="3600" w:hanging="360"/>
      </w:pPr>
    </w:lvl>
    <w:lvl w:ilvl="5" w:tplc="50F8D30E">
      <w:start w:val="1"/>
      <w:numFmt w:val="lowerRoman"/>
      <w:lvlText w:val="%6."/>
      <w:lvlJc w:val="right"/>
      <w:pPr>
        <w:ind w:left="4320" w:hanging="180"/>
      </w:pPr>
    </w:lvl>
    <w:lvl w:ilvl="6" w:tplc="4DAC2776">
      <w:start w:val="1"/>
      <w:numFmt w:val="decimal"/>
      <w:lvlText w:val="%7."/>
      <w:lvlJc w:val="left"/>
      <w:pPr>
        <w:ind w:left="5040" w:hanging="360"/>
      </w:pPr>
    </w:lvl>
    <w:lvl w:ilvl="7" w:tplc="1D0843B2">
      <w:start w:val="1"/>
      <w:numFmt w:val="lowerLetter"/>
      <w:lvlText w:val="%8."/>
      <w:lvlJc w:val="left"/>
      <w:pPr>
        <w:ind w:left="5760" w:hanging="360"/>
      </w:pPr>
    </w:lvl>
    <w:lvl w:ilvl="8" w:tplc="893E97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D80D"/>
    <w:multiLevelType w:val="hybridMultilevel"/>
    <w:tmpl w:val="58A4FD16"/>
    <w:lvl w:ilvl="0" w:tplc="D89EDC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5966CE8">
      <w:start w:val="1"/>
      <w:numFmt w:val="lowerLetter"/>
      <w:lvlText w:val="%2."/>
      <w:lvlJc w:val="left"/>
      <w:pPr>
        <w:ind w:left="1440" w:hanging="360"/>
      </w:pPr>
    </w:lvl>
    <w:lvl w:ilvl="2" w:tplc="84726C66">
      <w:start w:val="1"/>
      <w:numFmt w:val="lowerRoman"/>
      <w:lvlText w:val="%3."/>
      <w:lvlJc w:val="right"/>
      <w:pPr>
        <w:ind w:left="2160" w:hanging="180"/>
      </w:pPr>
    </w:lvl>
    <w:lvl w:ilvl="3" w:tplc="0E3C7BD4">
      <w:start w:val="1"/>
      <w:numFmt w:val="decimal"/>
      <w:lvlText w:val="%4."/>
      <w:lvlJc w:val="left"/>
      <w:pPr>
        <w:ind w:left="2880" w:hanging="360"/>
      </w:pPr>
    </w:lvl>
    <w:lvl w:ilvl="4" w:tplc="DA7A0BA0">
      <w:start w:val="1"/>
      <w:numFmt w:val="lowerLetter"/>
      <w:lvlText w:val="%5."/>
      <w:lvlJc w:val="left"/>
      <w:pPr>
        <w:ind w:left="3600" w:hanging="360"/>
      </w:pPr>
    </w:lvl>
    <w:lvl w:ilvl="5" w:tplc="6AB07868">
      <w:start w:val="1"/>
      <w:numFmt w:val="lowerRoman"/>
      <w:lvlText w:val="%6."/>
      <w:lvlJc w:val="right"/>
      <w:pPr>
        <w:ind w:left="4320" w:hanging="180"/>
      </w:pPr>
    </w:lvl>
    <w:lvl w:ilvl="6" w:tplc="955671D0">
      <w:start w:val="1"/>
      <w:numFmt w:val="decimal"/>
      <w:lvlText w:val="%7."/>
      <w:lvlJc w:val="left"/>
      <w:pPr>
        <w:ind w:left="5040" w:hanging="360"/>
      </w:pPr>
    </w:lvl>
    <w:lvl w:ilvl="7" w:tplc="D384EA46">
      <w:start w:val="1"/>
      <w:numFmt w:val="lowerLetter"/>
      <w:lvlText w:val="%8."/>
      <w:lvlJc w:val="left"/>
      <w:pPr>
        <w:ind w:left="5760" w:hanging="360"/>
      </w:pPr>
    </w:lvl>
    <w:lvl w:ilvl="8" w:tplc="23666B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C256B"/>
    <w:multiLevelType w:val="hybridMultilevel"/>
    <w:tmpl w:val="7ABE6CC4"/>
    <w:lvl w:ilvl="0" w:tplc="3DFEAB2A">
      <w:start w:val="1"/>
      <w:numFmt w:val="decimal"/>
      <w:lvlText w:val="%1."/>
      <w:lvlJc w:val="left"/>
      <w:pPr>
        <w:ind w:left="720" w:hanging="360"/>
      </w:pPr>
    </w:lvl>
    <w:lvl w:ilvl="1" w:tplc="D7AA3A36">
      <w:start w:val="1"/>
      <w:numFmt w:val="lowerLetter"/>
      <w:lvlText w:val="%2."/>
      <w:lvlJc w:val="left"/>
      <w:pPr>
        <w:ind w:left="1440" w:hanging="360"/>
      </w:pPr>
    </w:lvl>
    <w:lvl w:ilvl="2" w:tplc="AF4699EA">
      <w:start w:val="1"/>
      <w:numFmt w:val="lowerRoman"/>
      <w:lvlText w:val="%3."/>
      <w:lvlJc w:val="right"/>
      <w:pPr>
        <w:ind w:left="2160" w:hanging="180"/>
      </w:pPr>
    </w:lvl>
    <w:lvl w:ilvl="3" w:tplc="23340BA6">
      <w:start w:val="1"/>
      <w:numFmt w:val="decimal"/>
      <w:lvlText w:val="%4."/>
      <w:lvlJc w:val="left"/>
      <w:pPr>
        <w:ind w:left="2880" w:hanging="360"/>
      </w:pPr>
    </w:lvl>
    <w:lvl w:ilvl="4" w:tplc="5C42A788">
      <w:start w:val="1"/>
      <w:numFmt w:val="lowerLetter"/>
      <w:lvlText w:val="%5."/>
      <w:lvlJc w:val="left"/>
      <w:pPr>
        <w:ind w:left="3600" w:hanging="360"/>
      </w:pPr>
    </w:lvl>
    <w:lvl w:ilvl="5" w:tplc="A6E88340">
      <w:start w:val="1"/>
      <w:numFmt w:val="lowerRoman"/>
      <w:lvlText w:val="%6."/>
      <w:lvlJc w:val="right"/>
      <w:pPr>
        <w:ind w:left="4320" w:hanging="180"/>
      </w:pPr>
    </w:lvl>
    <w:lvl w:ilvl="6" w:tplc="9FA27BC0">
      <w:start w:val="1"/>
      <w:numFmt w:val="decimal"/>
      <w:lvlText w:val="%7."/>
      <w:lvlJc w:val="left"/>
      <w:pPr>
        <w:ind w:left="5040" w:hanging="360"/>
      </w:pPr>
    </w:lvl>
    <w:lvl w:ilvl="7" w:tplc="176AC26E">
      <w:start w:val="1"/>
      <w:numFmt w:val="lowerLetter"/>
      <w:lvlText w:val="%8."/>
      <w:lvlJc w:val="left"/>
      <w:pPr>
        <w:ind w:left="5760" w:hanging="360"/>
      </w:pPr>
    </w:lvl>
    <w:lvl w:ilvl="8" w:tplc="84F427CA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707">
    <w:abstractNumId w:val="2"/>
  </w:num>
  <w:num w:numId="2" w16cid:durableId="134495871">
    <w:abstractNumId w:val="3"/>
  </w:num>
  <w:num w:numId="3" w16cid:durableId="43145119">
    <w:abstractNumId w:val="1"/>
  </w:num>
  <w:num w:numId="4" w16cid:durableId="33314827">
    <w:abstractNumId w:val="4"/>
  </w:num>
  <w:num w:numId="5" w16cid:durableId="101469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B0"/>
    <w:rsid w:val="002633B6"/>
    <w:rsid w:val="00355D99"/>
    <w:rsid w:val="003D7CEC"/>
    <w:rsid w:val="003F5459"/>
    <w:rsid w:val="0050046C"/>
    <w:rsid w:val="00533A95"/>
    <w:rsid w:val="007F05A5"/>
    <w:rsid w:val="008D47B0"/>
    <w:rsid w:val="009A616B"/>
    <w:rsid w:val="00AE022E"/>
    <w:rsid w:val="00B47A4F"/>
    <w:rsid w:val="00BB2477"/>
    <w:rsid w:val="00DE4C4F"/>
    <w:rsid w:val="00EB5E96"/>
    <w:rsid w:val="00EC4825"/>
    <w:rsid w:val="00F72FA3"/>
    <w:rsid w:val="131C170B"/>
    <w:rsid w:val="18581171"/>
    <w:rsid w:val="40C721FD"/>
    <w:rsid w:val="566FE065"/>
    <w:rsid w:val="6D6F6C58"/>
    <w:rsid w:val="7ED3F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8819"/>
  <w15:chartTrackingRefBased/>
  <w15:docId w15:val="{D09A39F7-D0CE-4B29-BC41-72D6A03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2026-01-30T05:00:00+00:00</Publication_x0020_Date>
    <Audience1 xmlns="3a62de7d-ba57-4f43-9dae-9623ba637be0">
      <Value>1</Value>
      <Value>2</Value>
      <Value>4</Value>
      <Value>7</Value>
    </Audience1>
    <_dlc_DocId xmlns="3a62de7d-ba57-4f43-9dae-9623ba637be0">KYED-320-991</_dlc_DocId>
    <_dlc_DocIdUrl xmlns="3a62de7d-ba57-4f43-9dae-9623ba637be0">
      <Url>https://education-edit.ky.gov/districts/business/_layouts/15/DocIdRedir.aspx?ID=KYED-320-991</Url>
      <Description>KYED-320-991</Description>
    </_dlc_DocIdUrl>
  </documentManagement>
</p:properties>
</file>

<file path=customXml/itemProps1.xml><?xml version="1.0" encoding="utf-8"?>
<ds:datastoreItem xmlns:ds="http://schemas.openxmlformats.org/officeDocument/2006/customXml" ds:itemID="{1B7632D2-44C0-4A2F-A53B-A8205F9389CD}"/>
</file>

<file path=customXml/itemProps2.xml><?xml version="1.0" encoding="utf-8"?>
<ds:datastoreItem xmlns:ds="http://schemas.openxmlformats.org/officeDocument/2006/customXml" ds:itemID="{D487C174-F8F9-436B-B29A-246115F7CFFD}"/>
</file>

<file path=customXml/itemProps3.xml><?xml version="1.0" encoding="utf-8"?>
<ds:datastoreItem xmlns:ds="http://schemas.openxmlformats.org/officeDocument/2006/customXml" ds:itemID="{B6FFB890-180D-4F8C-9E45-AECD32B746A0}"/>
</file>

<file path=customXml/itemProps4.xml><?xml version="1.0" encoding="utf-8"?>
<ds:datastoreItem xmlns:ds="http://schemas.openxmlformats.org/officeDocument/2006/customXml" ds:itemID="{2A0227E6-43CD-4C92-BCC6-D0E809E4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637</Characters>
  <Application>Microsoft Office Word</Application>
  <DocSecurity>0</DocSecurity>
  <Lines>14</Lines>
  <Paragraphs>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6</cp:revision>
  <dcterms:created xsi:type="dcterms:W3CDTF">2026-01-15T14:38:00Z</dcterms:created>
  <dcterms:modified xsi:type="dcterms:W3CDTF">2026-01-29T17:10:00Z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26a80085-e83d-4bb9-9b27-2ad4ffc5bbac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2026-01-15T22:22:08Z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48a7ffde-a891-46c2-8505-c287328244fd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10, 3, 0, 1</vt:lpwstr>
  </property>
  <property fmtid="{D5CDD505-2E9C-101B-9397-08002B2CF9AE}" pid="11" name="ContentTypeId">
    <vt:lpwstr>0x0101001BEB557DBE01834EAB47A683706DCD5B0067DB7FB784439943BCA59FAA76F4E080</vt:lpwstr>
  </property>
  <property fmtid="{D5CDD505-2E9C-101B-9397-08002B2CF9AE}" pid="12" name="_dlc_DocIdItemGuid">
    <vt:lpwstr>2dfc0d4d-245a-4ae1-bb5a-955a261be475</vt:lpwstr>
  </property>
</Properties>
</file>