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66B" w:rsidRDefault="0009166B" w:rsidP="0009166B">
      <w:pPr>
        <w:rPr>
          <w:rFonts w:asciiTheme="minorHAnsi" w:hAnsiTheme="minorHAnsi" w:cstheme="minorHAnsi"/>
          <w:b/>
          <w:bCs/>
          <w:sz w:val="24"/>
          <w:szCs w:val="24"/>
        </w:rPr>
      </w:pPr>
      <w:r w:rsidRPr="0009166B">
        <w:rPr>
          <w:rFonts w:asciiTheme="minorHAnsi" w:hAnsiTheme="minorHAnsi" w:cstheme="minorHAnsi"/>
          <w:b/>
          <w:bCs/>
          <w:sz w:val="24"/>
          <w:szCs w:val="24"/>
        </w:rPr>
        <w:t>Tracking influenza-like illnesses in schools</w:t>
      </w:r>
    </w:p>
    <w:p w:rsidR="00B94328" w:rsidRPr="0009166B" w:rsidRDefault="00B94328" w:rsidP="0009166B">
      <w:pPr>
        <w:rPr>
          <w:rFonts w:asciiTheme="minorHAnsi" w:hAnsiTheme="minorHAnsi" w:cstheme="minorHAnsi"/>
          <w:b/>
          <w:bCs/>
          <w:sz w:val="24"/>
          <w:szCs w:val="24"/>
        </w:rPr>
      </w:pPr>
    </w:p>
    <w:p w:rsidR="0009166B" w:rsidRPr="0009166B" w:rsidRDefault="0009166B" w:rsidP="0009166B">
      <w:pPr>
        <w:rPr>
          <w:rFonts w:asciiTheme="minorHAnsi" w:hAnsiTheme="minorHAnsi" w:cstheme="minorHAnsi"/>
          <w:sz w:val="24"/>
          <w:szCs w:val="24"/>
        </w:rPr>
      </w:pPr>
      <w:r w:rsidRPr="0009166B">
        <w:rPr>
          <w:rFonts w:asciiTheme="minorHAnsi" w:hAnsiTheme="minorHAnsi" w:cstheme="minorHAnsi"/>
          <w:sz w:val="24"/>
          <w:szCs w:val="24"/>
        </w:rPr>
        <w:t xml:space="preserve">Kentucky has already documented flu cases. Since flu activity has stared earlier than usual, the Centers for Disease Control is recommending a heightened effort to promote flu prevention. Flu vaccine clinics and reporting flu like activity are encouraged to promote this effort.  </w:t>
      </w:r>
    </w:p>
    <w:p w:rsidR="0009166B" w:rsidRDefault="0009166B" w:rsidP="0009166B">
      <w:pPr>
        <w:rPr>
          <w:rFonts w:asciiTheme="minorHAnsi" w:hAnsiTheme="minorHAnsi" w:cstheme="minorHAnsi"/>
          <w:sz w:val="24"/>
          <w:szCs w:val="24"/>
        </w:rPr>
      </w:pPr>
      <w:r w:rsidRPr="0009166B">
        <w:rPr>
          <w:rFonts w:asciiTheme="minorHAnsi" w:hAnsiTheme="minorHAnsi" w:cstheme="minorHAnsi"/>
          <w:sz w:val="24"/>
          <w:szCs w:val="24"/>
        </w:rPr>
        <w:t xml:space="preserve">The Kentucky Department of Education (KDE) and the Kentucky Department of Public Health (KDPH), are partnering to track students with flu-like illnesses in the school setting.  When a teacher, school nurse, or attendance clerk is notified that a child is absent due to flu-like symptoms, attendance clerks or other school staff should code the absence with one of the following codes: </w:t>
      </w:r>
    </w:p>
    <w:p w:rsidR="00CA048E" w:rsidRDefault="00CA048E" w:rsidP="0009166B">
      <w:pPr>
        <w:rPr>
          <w:rFonts w:asciiTheme="minorHAnsi" w:hAnsiTheme="minorHAnsi" w:cstheme="minorHAnsi"/>
          <w:b/>
          <w:sz w:val="24"/>
          <w:szCs w:val="24"/>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0"/>
        <w:gridCol w:w="6660"/>
      </w:tblGrid>
      <w:tr w:rsidR="00CA048E" w:rsidTr="009674F2">
        <w:tc>
          <w:tcPr>
            <w:tcW w:w="2670" w:type="dxa"/>
            <w:tcBorders>
              <w:top w:val="single" w:sz="8" w:space="0" w:color="auto"/>
              <w:left w:val="single" w:sz="8" w:space="0" w:color="auto"/>
              <w:bottom w:val="single" w:sz="8" w:space="0" w:color="auto"/>
              <w:right w:val="single" w:sz="8" w:space="0" w:color="auto"/>
            </w:tcBorders>
            <w:hideMark/>
          </w:tcPr>
          <w:p w:rsidR="00CA048E" w:rsidRDefault="00CA048E" w:rsidP="009674F2">
            <w:pPr>
              <w:textAlignment w:val="baseline"/>
              <w:rPr>
                <w:rFonts w:ascii="Segoe UI" w:hAnsi="Segoe UI" w:cs="Segoe UI"/>
                <w:sz w:val="18"/>
                <w:szCs w:val="18"/>
              </w:rPr>
            </w:pPr>
            <w:bookmarkStart w:id="0" w:name="_GoBack" w:colFirst="0" w:colLast="2"/>
            <w:r>
              <w:rPr>
                <w:b/>
                <w:bCs/>
                <w:sz w:val="20"/>
                <w:szCs w:val="20"/>
              </w:rPr>
              <w:t>Attendance Codes for Influenza-like symptoms </w:t>
            </w:r>
            <w:r>
              <w:rPr>
                <w:sz w:val="20"/>
                <w:szCs w:val="20"/>
              </w:rPr>
              <w:t> </w:t>
            </w:r>
          </w:p>
        </w:tc>
        <w:tc>
          <w:tcPr>
            <w:tcW w:w="6660" w:type="dxa"/>
            <w:tcBorders>
              <w:top w:val="single" w:sz="8" w:space="0" w:color="auto"/>
              <w:left w:val="nil"/>
              <w:bottom w:val="single" w:sz="8" w:space="0" w:color="auto"/>
              <w:right w:val="single" w:sz="8" w:space="0" w:color="auto"/>
            </w:tcBorders>
            <w:hideMark/>
          </w:tcPr>
          <w:p w:rsidR="00CA048E" w:rsidRDefault="00CA048E" w:rsidP="009674F2">
            <w:pPr>
              <w:textAlignment w:val="baseline"/>
              <w:rPr>
                <w:rFonts w:ascii="Segoe UI" w:hAnsi="Segoe UI" w:cs="Segoe UI"/>
                <w:sz w:val="18"/>
                <w:szCs w:val="18"/>
              </w:rPr>
            </w:pPr>
            <w:r>
              <w:rPr>
                <w:b/>
                <w:bCs/>
                <w:sz w:val="20"/>
                <w:szCs w:val="20"/>
              </w:rPr>
              <w:t>Attendance Description Influenza-like symptoms</w:t>
            </w:r>
            <w:r>
              <w:rPr>
                <w:sz w:val="20"/>
                <w:szCs w:val="20"/>
              </w:rPr>
              <w:t> </w:t>
            </w:r>
          </w:p>
        </w:tc>
      </w:tr>
      <w:tr w:rsidR="00CA048E" w:rsidTr="009674F2">
        <w:tc>
          <w:tcPr>
            <w:tcW w:w="2670" w:type="dxa"/>
            <w:tcBorders>
              <w:top w:val="nil"/>
              <w:left w:val="single" w:sz="8" w:space="0" w:color="auto"/>
              <w:bottom w:val="single" w:sz="8" w:space="0" w:color="auto"/>
              <w:right w:val="single" w:sz="8" w:space="0" w:color="auto"/>
            </w:tcBorders>
            <w:hideMark/>
          </w:tcPr>
          <w:p w:rsidR="00CA048E" w:rsidRDefault="00CA048E" w:rsidP="009674F2">
            <w:pPr>
              <w:textAlignment w:val="baseline"/>
              <w:rPr>
                <w:rFonts w:ascii="Segoe UI" w:hAnsi="Segoe UI" w:cs="Segoe UI"/>
                <w:sz w:val="18"/>
                <w:szCs w:val="18"/>
              </w:rPr>
            </w:pPr>
            <w:r>
              <w:rPr>
                <w:sz w:val="20"/>
                <w:szCs w:val="20"/>
              </w:rPr>
              <w:t>ILID </w:t>
            </w:r>
          </w:p>
        </w:tc>
        <w:tc>
          <w:tcPr>
            <w:tcW w:w="6660" w:type="dxa"/>
            <w:tcBorders>
              <w:top w:val="nil"/>
              <w:left w:val="nil"/>
              <w:bottom w:val="single" w:sz="8" w:space="0" w:color="auto"/>
              <w:right w:val="single" w:sz="8" w:space="0" w:color="auto"/>
            </w:tcBorders>
            <w:hideMark/>
          </w:tcPr>
          <w:p w:rsidR="00CA048E" w:rsidRDefault="00CA048E" w:rsidP="009674F2">
            <w:pPr>
              <w:textAlignment w:val="baseline"/>
              <w:rPr>
                <w:rFonts w:ascii="Segoe UI" w:hAnsi="Segoe UI" w:cs="Segoe UI"/>
                <w:sz w:val="18"/>
                <w:szCs w:val="18"/>
              </w:rPr>
            </w:pPr>
            <w:r>
              <w:rPr>
                <w:sz w:val="20"/>
                <w:szCs w:val="20"/>
              </w:rPr>
              <w:t>Influenza-like illness excused doctor note </w:t>
            </w:r>
          </w:p>
        </w:tc>
      </w:tr>
      <w:tr w:rsidR="00CA048E" w:rsidTr="009674F2">
        <w:tc>
          <w:tcPr>
            <w:tcW w:w="2670" w:type="dxa"/>
            <w:tcBorders>
              <w:top w:val="nil"/>
              <w:left w:val="single" w:sz="8" w:space="0" w:color="auto"/>
              <w:bottom w:val="single" w:sz="8" w:space="0" w:color="auto"/>
              <w:right w:val="single" w:sz="8" w:space="0" w:color="auto"/>
            </w:tcBorders>
            <w:hideMark/>
          </w:tcPr>
          <w:p w:rsidR="00CA048E" w:rsidRDefault="00CA048E" w:rsidP="009674F2">
            <w:pPr>
              <w:textAlignment w:val="baseline"/>
              <w:rPr>
                <w:rFonts w:ascii="Segoe UI" w:hAnsi="Segoe UI" w:cs="Segoe UI"/>
                <w:sz w:val="18"/>
                <w:szCs w:val="18"/>
              </w:rPr>
            </w:pPr>
            <w:r>
              <w:rPr>
                <w:sz w:val="20"/>
                <w:szCs w:val="20"/>
              </w:rPr>
              <w:t>ILIE </w:t>
            </w:r>
          </w:p>
        </w:tc>
        <w:tc>
          <w:tcPr>
            <w:tcW w:w="6660" w:type="dxa"/>
            <w:tcBorders>
              <w:top w:val="nil"/>
              <w:left w:val="nil"/>
              <w:bottom w:val="single" w:sz="8" w:space="0" w:color="auto"/>
              <w:right w:val="single" w:sz="8" w:space="0" w:color="auto"/>
            </w:tcBorders>
            <w:hideMark/>
          </w:tcPr>
          <w:p w:rsidR="00CA048E" w:rsidRDefault="00CA048E" w:rsidP="009674F2">
            <w:pPr>
              <w:textAlignment w:val="baseline"/>
              <w:rPr>
                <w:rFonts w:ascii="Segoe UI" w:hAnsi="Segoe UI" w:cs="Segoe UI"/>
                <w:sz w:val="18"/>
                <w:szCs w:val="18"/>
              </w:rPr>
            </w:pPr>
            <w:r>
              <w:rPr>
                <w:sz w:val="20"/>
                <w:szCs w:val="20"/>
              </w:rPr>
              <w:t>Influenza-like illness excused </w:t>
            </w:r>
          </w:p>
        </w:tc>
      </w:tr>
      <w:tr w:rsidR="00CA048E" w:rsidTr="009674F2">
        <w:tc>
          <w:tcPr>
            <w:tcW w:w="2670" w:type="dxa"/>
            <w:tcBorders>
              <w:top w:val="nil"/>
              <w:left w:val="single" w:sz="8" w:space="0" w:color="auto"/>
              <w:bottom w:val="single" w:sz="8" w:space="0" w:color="auto"/>
              <w:right w:val="single" w:sz="8" w:space="0" w:color="auto"/>
            </w:tcBorders>
            <w:hideMark/>
          </w:tcPr>
          <w:p w:rsidR="00CA048E" w:rsidRDefault="00CA048E" w:rsidP="009674F2">
            <w:pPr>
              <w:textAlignment w:val="baseline"/>
              <w:rPr>
                <w:rFonts w:ascii="Segoe UI" w:hAnsi="Segoe UI" w:cs="Segoe UI"/>
                <w:sz w:val="18"/>
                <w:szCs w:val="18"/>
              </w:rPr>
            </w:pPr>
            <w:r>
              <w:rPr>
                <w:sz w:val="20"/>
                <w:szCs w:val="20"/>
              </w:rPr>
              <w:t>ILIP </w:t>
            </w:r>
          </w:p>
        </w:tc>
        <w:tc>
          <w:tcPr>
            <w:tcW w:w="6660" w:type="dxa"/>
            <w:tcBorders>
              <w:top w:val="nil"/>
              <w:left w:val="nil"/>
              <w:bottom w:val="single" w:sz="8" w:space="0" w:color="auto"/>
              <w:right w:val="single" w:sz="8" w:space="0" w:color="auto"/>
            </w:tcBorders>
            <w:hideMark/>
          </w:tcPr>
          <w:p w:rsidR="00CA048E" w:rsidRDefault="00CA048E" w:rsidP="009674F2">
            <w:pPr>
              <w:textAlignment w:val="baseline"/>
              <w:rPr>
                <w:rFonts w:ascii="Segoe UI" w:hAnsi="Segoe UI" w:cs="Segoe UI"/>
                <w:sz w:val="18"/>
                <w:szCs w:val="18"/>
              </w:rPr>
            </w:pPr>
            <w:r>
              <w:rPr>
                <w:sz w:val="20"/>
                <w:szCs w:val="20"/>
              </w:rPr>
              <w:t>Influenza-like excused parent note </w:t>
            </w:r>
          </w:p>
        </w:tc>
      </w:tr>
      <w:tr w:rsidR="00CA048E" w:rsidTr="009674F2">
        <w:tc>
          <w:tcPr>
            <w:tcW w:w="2670" w:type="dxa"/>
            <w:tcBorders>
              <w:top w:val="nil"/>
              <w:left w:val="single" w:sz="8" w:space="0" w:color="auto"/>
              <w:bottom w:val="single" w:sz="8" w:space="0" w:color="auto"/>
              <w:right w:val="single" w:sz="8" w:space="0" w:color="auto"/>
            </w:tcBorders>
            <w:hideMark/>
          </w:tcPr>
          <w:p w:rsidR="00CA048E" w:rsidRDefault="00CA048E" w:rsidP="009674F2">
            <w:pPr>
              <w:textAlignment w:val="baseline"/>
              <w:rPr>
                <w:rFonts w:ascii="Segoe UI" w:hAnsi="Segoe UI" w:cs="Segoe UI"/>
                <w:sz w:val="18"/>
                <w:szCs w:val="18"/>
              </w:rPr>
            </w:pPr>
            <w:r>
              <w:rPr>
                <w:sz w:val="20"/>
                <w:szCs w:val="20"/>
              </w:rPr>
              <w:t>ILIU </w:t>
            </w:r>
          </w:p>
        </w:tc>
        <w:tc>
          <w:tcPr>
            <w:tcW w:w="6660" w:type="dxa"/>
            <w:tcBorders>
              <w:top w:val="nil"/>
              <w:left w:val="nil"/>
              <w:bottom w:val="single" w:sz="8" w:space="0" w:color="auto"/>
              <w:right w:val="single" w:sz="8" w:space="0" w:color="auto"/>
            </w:tcBorders>
            <w:hideMark/>
          </w:tcPr>
          <w:p w:rsidR="00CA048E" w:rsidRDefault="00CA048E" w:rsidP="009674F2">
            <w:pPr>
              <w:textAlignment w:val="baseline"/>
              <w:rPr>
                <w:rFonts w:ascii="Segoe UI" w:hAnsi="Segoe UI" w:cs="Segoe UI"/>
                <w:sz w:val="18"/>
                <w:szCs w:val="18"/>
              </w:rPr>
            </w:pPr>
            <w:r>
              <w:rPr>
                <w:sz w:val="20"/>
                <w:szCs w:val="20"/>
              </w:rPr>
              <w:t>Influenza-like illness unexcused </w:t>
            </w:r>
          </w:p>
        </w:tc>
      </w:tr>
      <w:bookmarkEnd w:id="0"/>
    </w:tbl>
    <w:p w:rsidR="00CA048E" w:rsidRPr="00B94328" w:rsidRDefault="00CA048E" w:rsidP="0009166B">
      <w:pPr>
        <w:rPr>
          <w:rFonts w:asciiTheme="minorHAnsi" w:hAnsiTheme="minorHAnsi" w:cstheme="minorHAnsi"/>
          <w:b/>
          <w:sz w:val="24"/>
          <w:szCs w:val="24"/>
        </w:rPr>
      </w:pPr>
    </w:p>
    <w:p w:rsidR="0009166B" w:rsidRPr="0009166B" w:rsidRDefault="0009166B" w:rsidP="0009166B">
      <w:pPr>
        <w:rPr>
          <w:rFonts w:asciiTheme="minorHAnsi" w:hAnsiTheme="minorHAnsi" w:cstheme="minorHAnsi"/>
          <w:sz w:val="24"/>
          <w:szCs w:val="24"/>
        </w:rPr>
      </w:pPr>
      <w:r w:rsidRPr="0009166B">
        <w:rPr>
          <w:rFonts w:asciiTheme="minorHAnsi" w:hAnsiTheme="minorHAnsi" w:cstheme="minorHAnsi"/>
          <w:sz w:val="24"/>
          <w:szCs w:val="24"/>
        </w:rPr>
        <w:t xml:space="preserve">Influenza-like illnesses should be tracked closely by administrators, school nurses, and district health coordinators to determine if the district flu plan should be activated. Extra cleaning by custodial staff should be performed during the day, including frequently used items such as water fountains, computer keyboards, etc.  The use of shared items such as crayons and scissor should be limited as well.  Students should also be taught to cover coughs and to use good hand washing practices.  </w:t>
      </w:r>
    </w:p>
    <w:p w:rsidR="0009166B" w:rsidRPr="0009166B" w:rsidRDefault="0009166B" w:rsidP="0009166B">
      <w:pPr>
        <w:rPr>
          <w:rFonts w:asciiTheme="minorHAnsi" w:hAnsiTheme="minorHAnsi" w:cstheme="minorHAnsi"/>
          <w:sz w:val="24"/>
          <w:szCs w:val="24"/>
        </w:rPr>
      </w:pPr>
      <w:r w:rsidRPr="0009166B">
        <w:rPr>
          <w:rFonts w:asciiTheme="minorHAnsi" w:hAnsiTheme="minorHAnsi" w:cstheme="minorHAnsi"/>
          <w:sz w:val="24"/>
          <w:szCs w:val="24"/>
        </w:rPr>
        <w:t xml:space="preserve">School districts should always notify their local health department of any outbreaks or closings as they work with state epidemiologists as well as the CDC for data reporting.  </w:t>
      </w:r>
    </w:p>
    <w:p w:rsidR="0009166B" w:rsidRPr="0009166B" w:rsidRDefault="0009166B" w:rsidP="0009166B">
      <w:pPr>
        <w:rPr>
          <w:rFonts w:asciiTheme="minorHAnsi" w:hAnsiTheme="minorHAnsi" w:cstheme="minorHAnsi"/>
          <w:sz w:val="24"/>
          <w:szCs w:val="24"/>
        </w:rPr>
      </w:pPr>
      <w:r w:rsidRPr="0009166B">
        <w:rPr>
          <w:rFonts w:asciiTheme="minorHAnsi" w:hAnsiTheme="minorHAnsi" w:cstheme="minorHAnsi"/>
          <w:sz w:val="24"/>
          <w:szCs w:val="24"/>
        </w:rPr>
        <w:t xml:space="preserve">For free CDC resources, including information on how to avoid contracting the flu, click </w:t>
      </w:r>
      <w:hyperlink r:id="rId5" w:history="1">
        <w:r w:rsidRPr="0009166B">
          <w:rPr>
            <w:rStyle w:val="Hyperlink"/>
            <w:rFonts w:asciiTheme="minorHAnsi" w:hAnsiTheme="minorHAnsi" w:cstheme="minorHAnsi"/>
            <w:color w:val="auto"/>
            <w:sz w:val="24"/>
            <w:szCs w:val="24"/>
          </w:rPr>
          <w:t>here</w:t>
        </w:r>
      </w:hyperlink>
      <w:r w:rsidRPr="0009166B">
        <w:rPr>
          <w:rFonts w:asciiTheme="minorHAnsi" w:hAnsiTheme="minorHAnsi" w:cstheme="minorHAnsi"/>
          <w:sz w:val="24"/>
          <w:szCs w:val="24"/>
        </w:rPr>
        <w:t xml:space="preserve">. </w:t>
      </w:r>
    </w:p>
    <w:p w:rsidR="0009166B" w:rsidRPr="0009166B" w:rsidRDefault="0009166B" w:rsidP="0009166B">
      <w:pPr>
        <w:rPr>
          <w:rFonts w:asciiTheme="minorHAnsi" w:hAnsiTheme="minorHAnsi" w:cstheme="minorHAnsi"/>
          <w:sz w:val="24"/>
          <w:szCs w:val="24"/>
        </w:rPr>
      </w:pPr>
    </w:p>
    <w:p w:rsidR="0009166B" w:rsidRPr="0009166B" w:rsidRDefault="0009166B" w:rsidP="0009166B">
      <w:pPr>
        <w:rPr>
          <w:rFonts w:asciiTheme="minorHAnsi" w:hAnsiTheme="minorHAnsi" w:cstheme="minorHAnsi"/>
          <w:b/>
          <w:sz w:val="24"/>
          <w:szCs w:val="24"/>
        </w:rPr>
      </w:pPr>
      <w:r w:rsidRPr="0009166B">
        <w:rPr>
          <w:rFonts w:asciiTheme="minorHAnsi" w:hAnsiTheme="minorHAnsi" w:cstheme="minorHAnsi"/>
          <w:b/>
          <w:sz w:val="24"/>
          <w:szCs w:val="24"/>
        </w:rPr>
        <w:t>Entering new attendance codes for influenza-like illnesses in schools</w:t>
      </w:r>
    </w:p>
    <w:p w:rsidR="0009166B" w:rsidRPr="0009166B" w:rsidRDefault="0009166B" w:rsidP="0009166B">
      <w:pPr>
        <w:rPr>
          <w:rFonts w:asciiTheme="minorHAnsi" w:hAnsiTheme="minorHAnsi" w:cstheme="minorHAnsi"/>
          <w:sz w:val="24"/>
          <w:szCs w:val="24"/>
        </w:rPr>
      </w:pPr>
      <w:r w:rsidRPr="0009166B">
        <w:rPr>
          <w:rFonts w:asciiTheme="minorHAnsi" w:hAnsiTheme="minorHAnsi" w:cstheme="minorHAnsi"/>
          <w:sz w:val="24"/>
          <w:szCs w:val="24"/>
        </w:rPr>
        <w:t>Path: System Administration &gt; Attendance &gt; Attendance Codes</w:t>
      </w:r>
    </w:p>
    <w:p w:rsidR="0009166B" w:rsidRPr="0009166B" w:rsidRDefault="0009166B" w:rsidP="0009166B">
      <w:pPr>
        <w:pStyle w:val="ListParagraph"/>
        <w:numPr>
          <w:ilvl w:val="0"/>
          <w:numId w:val="1"/>
        </w:numPr>
        <w:shd w:val="clear" w:color="auto" w:fill="FFFFFF"/>
        <w:spacing w:before="100" w:beforeAutospacing="1" w:after="100" w:afterAutospacing="1"/>
        <w:rPr>
          <w:rFonts w:asciiTheme="minorHAnsi" w:eastAsia="Times New Roman" w:hAnsiTheme="minorHAnsi" w:cstheme="minorHAnsi"/>
          <w:color w:val="333333"/>
          <w:sz w:val="24"/>
          <w:szCs w:val="24"/>
        </w:rPr>
      </w:pPr>
      <w:r w:rsidRPr="0009166B">
        <w:rPr>
          <w:rFonts w:asciiTheme="minorHAnsi" w:eastAsia="Times New Roman" w:hAnsiTheme="minorHAnsi" w:cstheme="minorHAnsi"/>
          <w:color w:val="333333"/>
          <w:sz w:val="24"/>
          <w:szCs w:val="24"/>
        </w:rPr>
        <w:t>Select New.</w:t>
      </w:r>
    </w:p>
    <w:p w:rsidR="0009166B" w:rsidRPr="0009166B" w:rsidRDefault="0009166B" w:rsidP="0009166B">
      <w:pPr>
        <w:pStyle w:val="ListParagraph"/>
        <w:numPr>
          <w:ilvl w:val="0"/>
          <w:numId w:val="1"/>
        </w:numPr>
        <w:shd w:val="clear" w:color="auto" w:fill="FFFFFF"/>
        <w:spacing w:before="100" w:beforeAutospacing="1" w:after="100" w:afterAutospacing="1"/>
        <w:rPr>
          <w:rFonts w:asciiTheme="minorHAnsi" w:eastAsia="Times New Roman" w:hAnsiTheme="minorHAnsi" w:cstheme="minorHAnsi"/>
          <w:color w:val="333333"/>
          <w:sz w:val="24"/>
          <w:szCs w:val="24"/>
        </w:rPr>
      </w:pPr>
      <w:r w:rsidRPr="0009166B">
        <w:rPr>
          <w:rFonts w:asciiTheme="minorHAnsi" w:eastAsia="Times New Roman" w:hAnsiTheme="minorHAnsi" w:cstheme="minorHAnsi"/>
          <w:color w:val="333333"/>
          <w:sz w:val="24"/>
          <w:szCs w:val="24"/>
        </w:rPr>
        <w:t>Enter the attendance excuse abbreviation in the Code field (2-4 characters in length).</w:t>
      </w:r>
    </w:p>
    <w:p w:rsidR="0009166B" w:rsidRPr="0009166B" w:rsidRDefault="0009166B" w:rsidP="0009166B">
      <w:pPr>
        <w:pStyle w:val="ListParagraph"/>
        <w:numPr>
          <w:ilvl w:val="0"/>
          <w:numId w:val="1"/>
        </w:numPr>
        <w:shd w:val="clear" w:color="auto" w:fill="FFFFFF"/>
        <w:spacing w:before="100" w:beforeAutospacing="1" w:after="100" w:afterAutospacing="1"/>
        <w:rPr>
          <w:rFonts w:asciiTheme="minorHAnsi" w:eastAsia="Times New Roman" w:hAnsiTheme="minorHAnsi" w:cstheme="minorHAnsi"/>
          <w:color w:val="333333"/>
          <w:sz w:val="24"/>
          <w:szCs w:val="24"/>
        </w:rPr>
      </w:pPr>
      <w:r w:rsidRPr="0009166B">
        <w:rPr>
          <w:rFonts w:asciiTheme="minorHAnsi" w:eastAsia="Times New Roman" w:hAnsiTheme="minorHAnsi" w:cstheme="minorHAnsi"/>
          <w:color w:val="333333"/>
          <w:sz w:val="24"/>
          <w:szCs w:val="24"/>
        </w:rPr>
        <w:t>Enter a brief but descriptive definition for the entered code in the Description field. This description will be used throughout the Attendance module.</w:t>
      </w:r>
    </w:p>
    <w:p w:rsidR="0009166B" w:rsidRPr="0009166B" w:rsidRDefault="0009166B" w:rsidP="0009166B">
      <w:pPr>
        <w:pStyle w:val="ListParagraph"/>
        <w:numPr>
          <w:ilvl w:val="0"/>
          <w:numId w:val="1"/>
        </w:numPr>
        <w:shd w:val="clear" w:color="auto" w:fill="FFFFFF"/>
        <w:spacing w:before="100" w:beforeAutospacing="1" w:after="100" w:afterAutospacing="1"/>
        <w:rPr>
          <w:rFonts w:asciiTheme="minorHAnsi" w:eastAsia="Times New Roman" w:hAnsiTheme="minorHAnsi" w:cstheme="minorHAnsi"/>
          <w:color w:val="333333"/>
          <w:sz w:val="24"/>
          <w:szCs w:val="24"/>
        </w:rPr>
      </w:pPr>
      <w:r w:rsidRPr="0009166B">
        <w:rPr>
          <w:rFonts w:asciiTheme="minorHAnsi" w:eastAsia="Times New Roman" w:hAnsiTheme="minorHAnsi" w:cstheme="minorHAnsi"/>
          <w:color w:val="333333"/>
          <w:sz w:val="24"/>
          <w:szCs w:val="24"/>
        </w:rPr>
        <w:t>Select the appropriate status/excuse combination that should be aligned to the entered code in the Status and Excuse dropdown lists.</w:t>
      </w:r>
    </w:p>
    <w:p w:rsidR="0009166B" w:rsidRPr="0009166B" w:rsidRDefault="0009166B" w:rsidP="0009166B">
      <w:pPr>
        <w:pStyle w:val="ListParagraph"/>
        <w:numPr>
          <w:ilvl w:val="0"/>
          <w:numId w:val="1"/>
        </w:numPr>
        <w:shd w:val="clear" w:color="auto" w:fill="FFFFFF"/>
        <w:spacing w:before="100" w:beforeAutospacing="1" w:after="100" w:afterAutospacing="1"/>
        <w:rPr>
          <w:rFonts w:asciiTheme="minorHAnsi" w:eastAsia="Times New Roman" w:hAnsiTheme="minorHAnsi" w:cstheme="minorHAnsi"/>
          <w:color w:val="333333"/>
          <w:sz w:val="24"/>
          <w:szCs w:val="24"/>
        </w:rPr>
      </w:pPr>
      <w:r w:rsidRPr="0009166B">
        <w:rPr>
          <w:rFonts w:asciiTheme="minorHAnsi" w:eastAsia="Times New Roman" w:hAnsiTheme="minorHAnsi" w:cstheme="minorHAnsi"/>
          <w:color w:val="333333"/>
          <w:sz w:val="24"/>
          <w:szCs w:val="24"/>
        </w:rPr>
        <w:t>When finished, click Save.</w:t>
      </w:r>
    </w:p>
    <w:p w:rsidR="00AC2577" w:rsidRDefault="00980B81" w:rsidP="00AC2577">
      <w:r>
        <w:rPr>
          <w:noProof/>
        </w:rPr>
        <w:lastRenderedPageBreak/>
        <w:drawing>
          <wp:inline distT="0" distB="0" distL="0" distR="0" wp14:anchorId="71713A35" wp14:editId="420CBA6E">
            <wp:extent cx="5286414" cy="1840079"/>
            <wp:effectExtent l="0" t="0" r="0" b="8255"/>
            <wp:docPr id="6" name="Picture 6" descr="screenshot of Attendance Codes tab under System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60719" cy="1865943"/>
                    </a:xfrm>
                    <a:prstGeom prst="rect">
                      <a:avLst/>
                    </a:prstGeom>
                  </pic:spPr>
                </pic:pic>
              </a:graphicData>
            </a:graphic>
          </wp:inline>
        </w:drawing>
      </w:r>
    </w:p>
    <w:p w:rsidR="00AC2577" w:rsidRDefault="00AC2577" w:rsidP="00AC2577">
      <w:r>
        <w:rPr>
          <w:noProof/>
        </w:rPr>
        <w:drawing>
          <wp:inline distT="0" distB="0" distL="0" distR="0" wp14:anchorId="4BD08AB8" wp14:editId="1A66932E">
            <wp:extent cx="3800475" cy="1895475"/>
            <wp:effectExtent l="0" t="0" r="9525" b="9525"/>
            <wp:docPr id="4" name="Picture 4" descr="cid:image001.png@01D5AA7F.43081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AA7F.430817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00475" cy="1895475"/>
                    </a:xfrm>
                    <a:prstGeom prst="rect">
                      <a:avLst/>
                    </a:prstGeom>
                    <a:noFill/>
                    <a:ln>
                      <a:noFill/>
                    </a:ln>
                  </pic:spPr>
                </pic:pic>
              </a:graphicData>
            </a:graphic>
          </wp:inline>
        </w:drawing>
      </w:r>
    </w:p>
    <w:p w:rsidR="00AC2577" w:rsidRDefault="00AC2577" w:rsidP="00AC2577">
      <w:r>
        <w:rPr>
          <w:noProof/>
        </w:rPr>
        <w:drawing>
          <wp:inline distT="0" distB="0" distL="0" distR="0" wp14:anchorId="6C29197C" wp14:editId="7FC398B6">
            <wp:extent cx="3810000" cy="1924050"/>
            <wp:effectExtent l="0" t="0" r="0" b="0"/>
            <wp:docPr id="3" name="Picture 3" descr="cid:image002.png@01D5AA7F.43081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AA7F.430817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810000" cy="1924050"/>
                    </a:xfrm>
                    <a:prstGeom prst="rect">
                      <a:avLst/>
                    </a:prstGeom>
                    <a:noFill/>
                    <a:ln>
                      <a:noFill/>
                    </a:ln>
                  </pic:spPr>
                </pic:pic>
              </a:graphicData>
            </a:graphic>
          </wp:inline>
        </w:drawing>
      </w:r>
    </w:p>
    <w:p w:rsidR="00AC2577" w:rsidRDefault="00AC2577" w:rsidP="00AC2577">
      <w:r>
        <w:rPr>
          <w:noProof/>
        </w:rPr>
        <w:drawing>
          <wp:inline distT="0" distB="0" distL="0" distR="0" wp14:anchorId="0DC68943" wp14:editId="148C8EA8">
            <wp:extent cx="3819525" cy="1905000"/>
            <wp:effectExtent l="0" t="0" r="9525" b="0"/>
            <wp:docPr id="2" name="Picture 2" descr="cid:image003.png@01D5AA7F.43081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5AA7F.430817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9525" cy="1905000"/>
                    </a:xfrm>
                    <a:prstGeom prst="rect">
                      <a:avLst/>
                    </a:prstGeom>
                    <a:noFill/>
                    <a:ln>
                      <a:noFill/>
                    </a:ln>
                  </pic:spPr>
                </pic:pic>
              </a:graphicData>
            </a:graphic>
          </wp:inline>
        </w:drawing>
      </w:r>
    </w:p>
    <w:p w:rsidR="00AC2577" w:rsidRDefault="00AC2577" w:rsidP="00AC2577">
      <w:r>
        <w:rPr>
          <w:noProof/>
        </w:rPr>
        <w:lastRenderedPageBreak/>
        <w:drawing>
          <wp:inline distT="0" distB="0" distL="0" distR="0" wp14:anchorId="6F498929" wp14:editId="731FEAB2">
            <wp:extent cx="3829050" cy="1895475"/>
            <wp:effectExtent l="0" t="0" r="0" b="9525"/>
            <wp:docPr id="1" name="Picture 1" descr="cid:image004.png@01D5AA7F.43081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5AA7F.430817B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29050" cy="1895475"/>
                    </a:xfrm>
                    <a:prstGeom prst="rect">
                      <a:avLst/>
                    </a:prstGeom>
                    <a:noFill/>
                    <a:ln>
                      <a:noFill/>
                    </a:ln>
                  </pic:spPr>
                </pic:pic>
              </a:graphicData>
            </a:graphic>
          </wp:inline>
        </w:drawing>
      </w:r>
    </w:p>
    <w:p w:rsidR="0009166B" w:rsidRDefault="0009166B" w:rsidP="0009166B">
      <w:pPr>
        <w:rPr>
          <w:sz w:val="24"/>
          <w:szCs w:val="24"/>
        </w:rPr>
      </w:pPr>
    </w:p>
    <w:p w:rsidR="0009166B" w:rsidRDefault="0009166B" w:rsidP="0009166B">
      <w:pPr>
        <w:rPr>
          <w:sz w:val="24"/>
          <w:szCs w:val="24"/>
        </w:rPr>
      </w:pPr>
    </w:p>
    <w:p w:rsidR="00037046" w:rsidRPr="000F73F9" w:rsidRDefault="0009166B">
      <w:pPr>
        <w:rPr>
          <w:sz w:val="24"/>
          <w:szCs w:val="24"/>
        </w:rPr>
      </w:pPr>
      <w:r>
        <w:t xml:space="preserve">Additional documentation on these and other attendance codes is available in the Pupil Attendance Manual. Questions regarding use of the influenza codes should be directed to Angela McDonald by </w:t>
      </w:r>
      <w:hyperlink r:id="rId15" w:history="1">
        <w:r w:rsidRPr="00B11E76">
          <w:rPr>
            <w:rStyle w:val="Hyperlink"/>
          </w:rPr>
          <w:t>email</w:t>
        </w:r>
      </w:hyperlink>
      <w:r>
        <w:t xml:space="preserve"> or telephone at (502) 564-5279; questions regarding how to create the codes should be directed to Josh Whitlow by </w:t>
      </w:r>
      <w:hyperlink r:id="rId16" w:history="1">
        <w:r w:rsidRPr="006D6B6D">
          <w:rPr>
            <w:rStyle w:val="Hyperlink"/>
          </w:rPr>
          <w:t>email</w:t>
        </w:r>
      </w:hyperlink>
      <w:r>
        <w:t xml:space="preserve"> or telephone at (502) 564-5279.</w:t>
      </w:r>
    </w:p>
    <w:sectPr w:rsidR="00037046" w:rsidRPr="000F7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B54577"/>
    <w:multiLevelType w:val="hybridMultilevel"/>
    <w:tmpl w:val="1FFA2A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6B"/>
    <w:rsid w:val="00037046"/>
    <w:rsid w:val="0009166B"/>
    <w:rsid w:val="000F73F9"/>
    <w:rsid w:val="00452F8C"/>
    <w:rsid w:val="0057540E"/>
    <w:rsid w:val="005E4B57"/>
    <w:rsid w:val="006D6B6D"/>
    <w:rsid w:val="0085628F"/>
    <w:rsid w:val="00980B81"/>
    <w:rsid w:val="00AC2577"/>
    <w:rsid w:val="00AC507C"/>
    <w:rsid w:val="00B11E76"/>
    <w:rsid w:val="00B205FC"/>
    <w:rsid w:val="00B35072"/>
    <w:rsid w:val="00B94328"/>
    <w:rsid w:val="00C20348"/>
    <w:rsid w:val="00CA048E"/>
    <w:rsid w:val="00CA617D"/>
    <w:rsid w:val="00E6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3C3BE-586F-40AE-A4A7-4E63718B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66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66B"/>
    <w:rPr>
      <w:color w:val="0563C1"/>
      <w:u w:val="single"/>
    </w:rPr>
  </w:style>
  <w:style w:type="paragraph" w:styleId="ListParagraph">
    <w:name w:val="List Paragraph"/>
    <w:basedOn w:val="Normal"/>
    <w:uiPriority w:val="34"/>
    <w:qFormat/>
    <w:rsid w:val="0009166B"/>
    <w:pPr>
      <w:ind w:left="720"/>
    </w:pPr>
  </w:style>
  <w:style w:type="paragraph" w:styleId="BalloonText">
    <w:name w:val="Balloon Text"/>
    <w:basedOn w:val="Normal"/>
    <w:link w:val="BalloonTextChar"/>
    <w:uiPriority w:val="99"/>
    <w:semiHidden/>
    <w:unhideWhenUsed/>
    <w:rsid w:val="00091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66B"/>
    <w:rPr>
      <w:rFonts w:ascii="Segoe UI" w:hAnsi="Segoe UI" w:cs="Segoe UI"/>
      <w:sz w:val="18"/>
      <w:szCs w:val="18"/>
    </w:rPr>
  </w:style>
  <w:style w:type="character" w:customStyle="1" w:styleId="UnresolvedMention">
    <w:name w:val="Unresolved Mention"/>
    <w:basedOn w:val="DefaultParagraphFont"/>
    <w:uiPriority w:val="99"/>
    <w:semiHidden/>
    <w:unhideWhenUsed/>
    <w:rsid w:val="00B11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40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AA7F.430817B0"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2.png"/><Relationship Id="rId12" Type="http://schemas.openxmlformats.org/officeDocument/2006/relationships/image" Target="cid:image003.png@01D5AA7F.430817B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osh.whitlow@education.ky.gov?subject=email"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www.cdc.gov/flu/resource-center/freeresources/index.htm" TargetMode="External"/><Relationship Id="rId15" Type="http://schemas.openxmlformats.org/officeDocument/2006/relationships/hyperlink" Target="mailto:angela.mcdonald@education.ky.gov?subject=email" TargetMode="External"/><Relationship Id="rId10" Type="http://schemas.openxmlformats.org/officeDocument/2006/relationships/image" Target="cid:image002.png@01D5AA7F.430817B0"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cid:image004.png@01D5AA7F.430817B0"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43B1EEB972325A40A2A16705AE23EA45" ma:contentTypeVersion="28" ma:contentTypeDescription="" ma:contentTypeScope="" ma:versionID="44e2d754a8b0c394dbabdf70516d8ac0">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6f38eb1e008c7a035d2df6072afc5d61"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2019-12-03T05:00:00+00:00</Accessibility_x0020_Target_x0020_Date>
    <Application_x0020_Status xmlns="3a62de7d-ba57-4f43-9dae-9623ba637be0" xsi:nil="true"/>
    <Accessibility_x0020_Audit_x0020_Date xmlns="3a62de7d-ba57-4f43-9dae-9623ba637be0">2019-12-03T05:00:00+00:00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2019-12-04T05:00:00+00:00</Publication_x0020_Date>
    <Audience1 xmlns="3a62de7d-ba57-4f43-9dae-9623ba637be0"/>
    <_dlc_DocId xmlns="3a62de7d-ba57-4f43-9dae-9623ba637be0">KYED-112-483</_dlc_DocId>
    <_dlc_DocIdUrl xmlns="3a62de7d-ba57-4f43-9dae-9623ba637be0">
      <Url>https://www.education.ky.gov/districts/SHS/_layouts/15/DocIdRedir.aspx?ID=KYED-112-483</Url>
      <Description>KYED-112-483</Description>
    </_dlc_DocIdUrl>
  </documentManagement>
</p:properties>
</file>

<file path=customXml/itemProps1.xml><?xml version="1.0" encoding="utf-8"?>
<ds:datastoreItem xmlns:ds="http://schemas.openxmlformats.org/officeDocument/2006/customXml" ds:itemID="{003AD6FD-3335-4C1A-A096-AC6FA2D0596A}"/>
</file>

<file path=customXml/itemProps2.xml><?xml version="1.0" encoding="utf-8"?>
<ds:datastoreItem xmlns:ds="http://schemas.openxmlformats.org/officeDocument/2006/customXml" ds:itemID="{4B55482A-056A-4132-A0C0-3E1B706AD3BC}"/>
</file>

<file path=customXml/itemProps3.xml><?xml version="1.0" encoding="utf-8"?>
<ds:datastoreItem xmlns:ds="http://schemas.openxmlformats.org/officeDocument/2006/customXml" ds:itemID="{2E480AFF-253E-4D63-B8BA-AE25414DD878}"/>
</file>

<file path=customXml/itemProps4.xml><?xml version="1.0" encoding="utf-8"?>
<ds:datastoreItem xmlns:ds="http://schemas.openxmlformats.org/officeDocument/2006/customXml" ds:itemID="{65855DF2-7713-4B4A-B994-FA1BBA0B8093}"/>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Samantha - Division of District Support</dc:creator>
  <cp:keywords/>
  <dc:description/>
  <cp:lastModifiedBy>McDonald, Angela - Division of District Support</cp:lastModifiedBy>
  <cp:revision>2</cp:revision>
  <dcterms:created xsi:type="dcterms:W3CDTF">2019-12-04T17:15:00Z</dcterms:created>
  <dcterms:modified xsi:type="dcterms:W3CDTF">2019-12-04T17:15:00Z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0x0101001BEB557DBE01834EAB47A683706DCD5B0043B1EEB972325A40A2A16705AE23EA45</vt:lpwstr>
  </property>
  <property fmtid="{D5CDD505-2E9C-101B-9397-08002B2CF9AE}" pid="3" name="_dlc_DocIdItemGuid">
    <vt:lpwstr>df541716-1955-46c4-a064-dc1cfc8837b3</vt:lpwstr>
  </property>
</Properties>
</file>