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6066E" w14:textId="77777777" w:rsidR="0029002A" w:rsidRDefault="0029002A"/>
    <w:p w14:paraId="5EB15B69" w14:textId="77777777" w:rsidR="0029002A" w:rsidRDefault="0029002A"/>
    <w:tbl>
      <w:tblPr>
        <w:tblpPr w:leftFromText="187" w:rightFromText="187" w:horzAnchor="margin" w:tblpXSpec="center" w:tblpYSpec="bottom"/>
        <w:tblW w:w="4000" w:type="pct"/>
        <w:tblLook w:val="04A0" w:firstRow="1" w:lastRow="0" w:firstColumn="1" w:lastColumn="0" w:noHBand="0" w:noVBand="1"/>
      </w:tblPr>
      <w:tblGrid>
        <w:gridCol w:w="7488"/>
      </w:tblGrid>
      <w:tr w:rsidR="0029002A" w14:paraId="7EC2F02B" w14:textId="77777777" w:rsidTr="00494674">
        <w:trPr>
          <w:trHeight w:val="14"/>
        </w:trPr>
        <w:tc>
          <w:tcPr>
            <w:tcW w:w="7672" w:type="dxa"/>
            <w:tcMar>
              <w:top w:w="216" w:type="dxa"/>
              <w:left w:w="115" w:type="dxa"/>
              <w:bottom w:w="216" w:type="dxa"/>
              <w:right w:w="115" w:type="dxa"/>
            </w:tcMar>
          </w:tcPr>
          <w:p w14:paraId="550CC6DA" w14:textId="77777777" w:rsidR="0029002A" w:rsidRPr="0029002A" w:rsidRDefault="0029002A">
            <w:pPr>
              <w:pStyle w:val="NoSpacing"/>
              <w:rPr>
                <w:color w:val="4F81BD"/>
              </w:rPr>
            </w:pPr>
          </w:p>
          <w:p w14:paraId="66356EC3" w14:textId="77777777" w:rsidR="0029002A" w:rsidRPr="0029002A" w:rsidRDefault="0029002A">
            <w:pPr>
              <w:pStyle w:val="NoSpacing"/>
              <w:rPr>
                <w:color w:val="4F81BD"/>
              </w:rPr>
            </w:pPr>
          </w:p>
          <w:p w14:paraId="2AE71951" w14:textId="77777777" w:rsidR="0029002A" w:rsidRPr="0029002A" w:rsidRDefault="0029002A">
            <w:pPr>
              <w:pStyle w:val="NoSpacing"/>
              <w:rPr>
                <w:color w:val="4F81BD"/>
              </w:rPr>
            </w:pPr>
          </w:p>
        </w:tc>
      </w:tr>
    </w:tbl>
    <w:p w14:paraId="1784A739" w14:textId="77777777" w:rsidR="006C0F3E" w:rsidRPr="006C0F3E" w:rsidRDefault="006C0F3E" w:rsidP="006C0F3E">
      <w:pPr>
        <w:spacing w:after="0"/>
        <w:rPr>
          <w:vanish/>
        </w:rPr>
      </w:pPr>
    </w:p>
    <w:tbl>
      <w:tblPr>
        <w:tblpPr w:leftFromText="187" w:rightFromText="187" w:vertAnchor="page" w:horzAnchor="margin" w:tblpXSpec="center" w:tblpY="2581"/>
        <w:tblW w:w="4000" w:type="pct"/>
        <w:tblBorders>
          <w:left w:val="single" w:sz="18" w:space="0" w:color="4F81BD"/>
        </w:tblBorders>
        <w:tblLook w:val="04A0" w:firstRow="1" w:lastRow="0" w:firstColumn="1" w:lastColumn="0" w:noHBand="0" w:noVBand="1"/>
      </w:tblPr>
      <w:tblGrid>
        <w:gridCol w:w="7470"/>
      </w:tblGrid>
      <w:tr w:rsidR="009573A0" w14:paraId="7D2133BA" w14:textId="77777777" w:rsidTr="009573A0">
        <w:trPr>
          <w:trHeight w:val="1764"/>
        </w:trPr>
        <w:tc>
          <w:tcPr>
            <w:tcW w:w="7672" w:type="dxa"/>
            <w:tcMar>
              <w:top w:w="216" w:type="dxa"/>
              <w:left w:w="115" w:type="dxa"/>
              <w:bottom w:w="216" w:type="dxa"/>
              <w:right w:w="115" w:type="dxa"/>
            </w:tcMar>
          </w:tcPr>
          <w:p w14:paraId="570FE416" w14:textId="77777777" w:rsidR="009E4305" w:rsidRDefault="009573A0" w:rsidP="009573A0">
            <w:pPr>
              <w:pStyle w:val="NoSpacing"/>
              <w:rPr>
                <w:rFonts w:eastAsia="Times New Roman" w:cs="Times New Roman"/>
                <w:sz w:val="24"/>
                <w:szCs w:val="24"/>
              </w:rPr>
            </w:pPr>
            <w:r w:rsidRPr="002131C5">
              <w:rPr>
                <w:rFonts w:eastAsia="Times New Roman" w:cs="Times New Roman"/>
                <w:sz w:val="24"/>
                <w:szCs w:val="24"/>
              </w:rPr>
              <w:t>Kentucky Department of Education</w:t>
            </w:r>
          </w:p>
          <w:p w14:paraId="17AE0A8B" w14:textId="77777777" w:rsidR="0048326F" w:rsidRDefault="009573A0" w:rsidP="009573A0">
            <w:pPr>
              <w:pStyle w:val="NoSpacing"/>
              <w:rPr>
                <w:rFonts w:eastAsia="Times New Roman" w:cs="Times New Roman"/>
                <w:sz w:val="24"/>
                <w:szCs w:val="24"/>
              </w:rPr>
            </w:pPr>
            <w:r w:rsidRPr="002131C5">
              <w:rPr>
                <w:rFonts w:eastAsia="Times New Roman" w:cs="Times New Roman"/>
                <w:sz w:val="24"/>
                <w:szCs w:val="24"/>
              </w:rPr>
              <w:t>Divis</w:t>
            </w:r>
            <w:r w:rsidR="0048326F">
              <w:rPr>
                <w:rFonts w:eastAsia="Times New Roman" w:cs="Times New Roman"/>
                <w:sz w:val="24"/>
                <w:szCs w:val="24"/>
              </w:rPr>
              <w:t xml:space="preserve">ion of District Support </w:t>
            </w:r>
          </w:p>
          <w:p w14:paraId="0AD73537" w14:textId="77777777" w:rsidR="009573A0" w:rsidRPr="002131C5" w:rsidRDefault="009573A0" w:rsidP="009573A0">
            <w:pPr>
              <w:pStyle w:val="NoSpacing"/>
              <w:rPr>
                <w:rFonts w:eastAsia="Times New Roman" w:cs="Times New Roman"/>
              </w:rPr>
            </w:pPr>
            <w:r w:rsidRPr="002131C5">
              <w:rPr>
                <w:rFonts w:eastAsia="Times New Roman" w:cs="Times New Roman"/>
                <w:sz w:val="24"/>
                <w:szCs w:val="24"/>
              </w:rPr>
              <w:t xml:space="preserve">District Funding &amp; Reporting Branch </w:t>
            </w:r>
          </w:p>
        </w:tc>
      </w:tr>
      <w:tr w:rsidR="009573A0" w14:paraId="01C1D348" w14:textId="77777777" w:rsidTr="009573A0">
        <w:trPr>
          <w:trHeight w:val="6993"/>
        </w:trPr>
        <w:tc>
          <w:tcPr>
            <w:tcW w:w="7672" w:type="dxa"/>
          </w:tcPr>
          <w:p w14:paraId="7DCA61F9" w14:textId="77777777" w:rsidR="009573A0" w:rsidRDefault="009573A0" w:rsidP="009573A0">
            <w:pPr>
              <w:pStyle w:val="NoSpacing"/>
              <w:rPr>
                <w:rFonts w:ascii="Cambria" w:eastAsia="Times New Roman" w:hAnsi="Cambria" w:cs="Times New Roman"/>
                <w:sz w:val="96"/>
                <w:szCs w:val="96"/>
              </w:rPr>
            </w:pPr>
          </w:p>
          <w:p w14:paraId="581D93F4" w14:textId="77777777" w:rsidR="009573A0" w:rsidRPr="002131C5" w:rsidRDefault="009573A0" w:rsidP="009573A0">
            <w:pPr>
              <w:pStyle w:val="NoSpacing"/>
              <w:rPr>
                <w:rFonts w:eastAsia="Times New Roman" w:cs="Times New Roman"/>
                <w:color w:val="4F81BD"/>
                <w:sz w:val="80"/>
                <w:szCs w:val="80"/>
              </w:rPr>
            </w:pPr>
            <w:r w:rsidRPr="002131C5">
              <w:rPr>
                <w:rFonts w:eastAsia="Times New Roman" w:cs="Times New Roman"/>
                <w:sz w:val="96"/>
                <w:szCs w:val="96"/>
              </w:rPr>
              <w:t xml:space="preserve">Nickel Facts </w:t>
            </w:r>
          </w:p>
        </w:tc>
      </w:tr>
      <w:tr w:rsidR="009573A0" w14:paraId="6A7898E0" w14:textId="77777777" w:rsidTr="009573A0">
        <w:tc>
          <w:tcPr>
            <w:tcW w:w="7672" w:type="dxa"/>
            <w:tcMar>
              <w:top w:w="216" w:type="dxa"/>
              <w:left w:w="115" w:type="dxa"/>
              <w:bottom w:w="216" w:type="dxa"/>
              <w:right w:w="115" w:type="dxa"/>
            </w:tcMar>
          </w:tcPr>
          <w:p w14:paraId="03D32A41" w14:textId="77777777" w:rsidR="00202522" w:rsidRDefault="00202522" w:rsidP="00761F72">
            <w:pPr>
              <w:pStyle w:val="NoSpacing"/>
              <w:rPr>
                <w:rFonts w:ascii="Cambria" w:eastAsia="Times New Roman" w:hAnsi="Cambria" w:cs="Times New Roman"/>
              </w:rPr>
            </w:pPr>
          </w:p>
          <w:p w14:paraId="5708C2D3" w14:textId="77777777" w:rsidR="00202522" w:rsidRDefault="00202522" w:rsidP="00761F72">
            <w:pPr>
              <w:pStyle w:val="NoSpacing"/>
              <w:rPr>
                <w:rFonts w:ascii="Cambria" w:eastAsia="Times New Roman" w:hAnsi="Cambria" w:cs="Times New Roman"/>
              </w:rPr>
            </w:pPr>
          </w:p>
          <w:p w14:paraId="062706DE" w14:textId="77777777" w:rsidR="00202522" w:rsidRDefault="00202522" w:rsidP="00761F72">
            <w:pPr>
              <w:pStyle w:val="NoSpacing"/>
              <w:rPr>
                <w:rFonts w:ascii="Cambria" w:eastAsia="Times New Roman" w:hAnsi="Cambria" w:cs="Times New Roman"/>
              </w:rPr>
            </w:pPr>
          </w:p>
          <w:p w14:paraId="223F1E42" w14:textId="24D1AEEB" w:rsidR="009573A0" w:rsidRPr="0029002A" w:rsidRDefault="009573A0" w:rsidP="009250A7">
            <w:pPr>
              <w:pStyle w:val="NoSpacing"/>
              <w:rPr>
                <w:rFonts w:ascii="Cambria" w:eastAsia="Times New Roman" w:hAnsi="Cambria" w:cs="Times New Roman"/>
              </w:rPr>
            </w:pPr>
            <w:r>
              <w:rPr>
                <w:rFonts w:ascii="Cambria" w:eastAsia="Times New Roman" w:hAnsi="Cambria" w:cs="Times New Roman"/>
              </w:rPr>
              <w:t xml:space="preserve">Updated </w:t>
            </w:r>
            <w:r w:rsidR="00AB2C54">
              <w:rPr>
                <w:rFonts w:ascii="Cambria" w:eastAsia="Times New Roman" w:hAnsi="Cambria" w:cs="Times New Roman"/>
              </w:rPr>
              <w:t>March 2024</w:t>
            </w:r>
          </w:p>
        </w:tc>
      </w:tr>
    </w:tbl>
    <w:p w14:paraId="2F8DAD7B" w14:textId="77777777" w:rsidR="0029002A" w:rsidRDefault="0029002A"/>
    <w:p w14:paraId="694514EF" w14:textId="77777777" w:rsidR="002131C5" w:rsidRPr="002131C5" w:rsidRDefault="0029002A" w:rsidP="002131C5">
      <w:pPr>
        <w:spacing w:line="240" w:lineRule="auto"/>
        <w:jc w:val="center"/>
        <w:rPr>
          <w:rFonts w:ascii="Times New Roman" w:eastAsia="Times New Roman" w:hAnsi="Times New Roman"/>
          <w:sz w:val="20"/>
          <w:szCs w:val="20"/>
        </w:rPr>
      </w:pPr>
      <w:r>
        <w:rPr>
          <w:rFonts w:ascii="Times New Roman" w:eastAsia="Times New Roman" w:hAnsi="Times New Roman"/>
          <w:sz w:val="20"/>
          <w:szCs w:val="20"/>
        </w:rPr>
        <w:br w:type="page"/>
      </w:r>
    </w:p>
    <w:p w14:paraId="1A40F915" w14:textId="77777777" w:rsidR="002131C5" w:rsidRPr="002131C5" w:rsidRDefault="002131C5" w:rsidP="002131C5">
      <w:pPr>
        <w:pStyle w:val="TOCHeading"/>
        <w:spacing w:before="0" w:line="240" w:lineRule="auto"/>
        <w:rPr>
          <w:rFonts w:ascii="Calibri" w:hAnsi="Calibri"/>
          <w:sz w:val="36"/>
          <w:szCs w:val="36"/>
        </w:rPr>
      </w:pPr>
      <w:r w:rsidRPr="002131C5">
        <w:rPr>
          <w:rFonts w:ascii="Calibri" w:hAnsi="Calibri"/>
          <w:sz w:val="36"/>
          <w:szCs w:val="36"/>
        </w:rPr>
        <w:lastRenderedPageBreak/>
        <w:t>Nickel Facts</w:t>
      </w:r>
    </w:p>
    <w:p w14:paraId="49A04F74" w14:textId="77777777" w:rsidR="002131C5" w:rsidRPr="005D4D38" w:rsidRDefault="002131C5" w:rsidP="002131C5">
      <w:pPr>
        <w:pStyle w:val="TOCHeading"/>
        <w:spacing w:before="0" w:line="240" w:lineRule="auto"/>
        <w:rPr>
          <w:rFonts w:ascii="Calibri" w:hAnsi="Calibri"/>
          <w:sz w:val="40"/>
          <w:szCs w:val="36"/>
        </w:rPr>
      </w:pPr>
      <w:r w:rsidRPr="005D4D38">
        <w:rPr>
          <w:rFonts w:ascii="Calibri" w:hAnsi="Calibri"/>
          <w:sz w:val="40"/>
          <w:szCs w:val="36"/>
        </w:rPr>
        <w:t>Table of Contents</w:t>
      </w:r>
    </w:p>
    <w:p w14:paraId="2614F128" w14:textId="77777777" w:rsidR="003320EA" w:rsidRDefault="003320EA" w:rsidP="002131C5">
      <w:pPr>
        <w:rPr>
          <w:lang w:eastAsia="ja-JP"/>
        </w:rPr>
      </w:pPr>
    </w:p>
    <w:p w14:paraId="0C74411C" w14:textId="77777777" w:rsidR="00C91264" w:rsidRDefault="00C91264" w:rsidP="002131C5">
      <w:pPr>
        <w:rPr>
          <w:lang w:eastAsia="ja-JP"/>
        </w:rPr>
      </w:pPr>
    </w:p>
    <w:p w14:paraId="62F27DC7" w14:textId="77777777" w:rsidR="002131C5" w:rsidRPr="00FE28AC" w:rsidRDefault="002131C5" w:rsidP="00CB144D">
      <w:pPr>
        <w:pStyle w:val="TOC1"/>
        <w:tabs>
          <w:tab w:val="right" w:leader="dot" w:pos="9360"/>
        </w:tabs>
        <w:rPr>
          <w:b/>
        </w:rPr>
      </w:pPr>
      <w:r>
        <w:rPr>
          <w:b/>
          <w:bCs/>
        </w:rPr>
        <w:t>Nickel Summary</w:t>
      </w:r>
      <w:r w:rsidR="0040173E" w:rsidRPr="00CB144D">
        <w:rPr>
          <w:bCs/>
        </w:rPr>
        <w:t>…………………………………………………………………………………………………………………………………</w:t>
      </w:r>
      <w:r w:rsidR="00CB144D">
        <w:rPr>
          <w:bCs/>
        </w:rPr>
        <w:t>……</w:t>
      </w:r>
      <w:r w:rsidR="00FE28AC">
        <w:rPr>
          <w:b/>
          <w:bCs/>
        </w:rPr>
        <w:t>3</w:t>
      </w:r>
    </w:p>
    <w:p w14:paraId="0BD01463" w14:textId="77777777" w:rsidR="002131C5" w:rsidRDefault="002131C5" w:rsidP="00CB144D">
      <w:pPr>
        <w:pStyle w:val="TOC1"/>
        <w:tabs>
          <w:tab w:val="right" w:leader="dot" w:pos="9360"/>
        </w:tabs>
        <w:rPr>
          <w:b/>
          <w:bCs/>
        </w:rPr>
      </w:pPr>
      <w:r>
        <w:rPr>
          <w:b/>
          <w:bCs/>
        </w:rPr>
        <w:t>Nickel Calculations</w:t>
      </w:r>
      <w:r w:rsidR="00CB144D">
        <w:rPr>
          <w:bCs/>
        </w:rPr>
        <w:t>…………………………………………………………………………………………………………………………..……..</w:t>
      </w:r>
      <w:r w:rsidR="001745FB">
        <w:rPr>
          <w:b/>
          <w:bCs/>
        </w:rPr>
        <w:t>4</w:t>
      </w:r>
    </w:p>
    <w:p w14:paraId="48AACC51" w14:textId="77777777" w:rsidR="002131C5" w:rsidRDefault="00EB185D" w:rsidP="002458CD">
      <w:pPr>
        <w:pStyle w:val="TOC1"/>
        <w:tabs>
          <w:tab w:val="right" w:leader="dot" w:pos="9360"/>
        </w:tabs>
      </w:pPr>
      <w:r>
        <w:rPr>
          <w:b/>
          <w:bCs/>
        </w:rPr>
        <w:t xml:space="preserve">Facilities Support Program of Kentucky </w:t>
      </w:r>
      <w:r w:rsidR="00CB0A36">
        <w:rPr>
          <w:b/>
          <w:bCs/>
        </w:rPr>
        <w:t>(</w:t>
      </w:r>
      <w:r w:rsidR="002131C5">
        <w:rPr>
          <w:b/>
          <w:bCs/>
        </w:rPr>
        <w:t>FSPK</w:t>
      </w:r>
      <w:r w:rsidR="00CB0A36">
        <w:rPr>
          <w:b/>
          <w:bCs/>
        </w:rPr>
        <w:t>)</w:t>
      </w:r>
      <w:r w:rsidR="002131C5">
        <w:rPr>
          <w:b/>
          <w:bCs/>
        </w:rPr>
        <w:t xml:space="preserve"> </w:t>
      </w:r>
      <w:r w:rsidR="00CB0A36">
        <w:rPr>
          <w:b/>
          <w:bCs/>
        </w:rPr>
        <w:t xml:space="preserve">Nickel </w:t>
      </w:r>
      <w:r w:rsidR="002131C5">
        <w:rPr>
          <w:b/>
          <w:bCs/>
        </w:rPr>
        <w:t>Facts</w:t>
      </w:r>
      <w:r w:rsidR="002458CD">
        <w:t>……</w:t>
      </w:r>
      <w:r>
        <w:t>….</w:t>
      </w:r>
      <w:r w:rsidR="002458CD">
        <w:t>…………………………………………………………</w:t>
      </w:r>
      <w:r w:rsidR="002458CD" w:rsidRPr="0014005C">
        <w:t>.</w:t>
      </w:r>
      <w:r w:rsidR="001745FB" w:rsidRPr="001745FB">
        <w:rPr>
          <w:b/>
        </w:rPr>
        <w:t>5</w:t>
      </w:r>
    </w:p>
    <w:p w14:paraId="5B6D1BA9" w14:textId="77777777" w:rsidR="002131C5" w:rsidRPr="003320EA" w:rsidRDefault="008148C9" w:rsidP="005D4D38">
      <w:pPr>
        <w:rPr>
          <w:b/>
          <w:lang w:eastAsia="ja-JP"/>
        </w:rPr>
      </w:pPr>
      <w:r>
        <w:rPr>
          <w:b/>
          <w:lang w:eastAsia="ja-JP"/>
        </w:rPr>
        <w:t xml:space="preserve">Original </w:t>
      </w:r>
      <w:r w:rsidR="002131C5" w:rsidRPr="003320EA">
        <w:rPr>
          <w:b/>
          <w:lang w:eastAsia="ja-JP"/>
        </w:rPr>
        <w:t>Growth Nickel Facts</w:t>
      </w:r>
      <w:r w:rsidR="002458CD">
        <w:rPr>
          <w:b/>
          <w:lang w:eastAsia="ja-JP"/>
        </w:rPr>
        <w:t>.</w:t>
      </w:r>
      <w:r w:rsidR="005D4D38">
        <w:rPr>
          <w:b/>
          <w:lang w:eastAsia="ja-JP"/>
        </w:rPr>
        <w:t>.</w:t>
      </w:r>
      <w:r>
        <w:rPr>
          <w:lang w:eastAsia="ja-JP"/>
        </w:rPr>
        <w:t>………………………………..</w:t>
      </w:r>
      <w:r w:rsidR="002131C5" w:rsidRPr="003320EA">
        <w:rPr>
          <w:lang w:eastAsia="ja-JP"/>
        </w:rPr>
        <w:t>……………………………………</w:t>
      </w:r>
      <w:r w:rsidR="003320EA">
        <w:rPr>
          <w:lang w:eastAsia="ja-JP"/>
        </w:rPr>
        <w:t>…..</w:t>
      </w:r>
      <w:r w:rsidR="002131C5" w:rsidRPr="003320EA">
        <w:rPr>
          <w:lang w:eastAsia="ja-JP"/>
        </w:rPr>
        <w:t>……………………………………</w:t>
      </w:r>
      <w:r w:rsidR="005D4D38">
        <w:rPr>
          <w:lang w:eastAsia="ja-JP"/>
        </w:rPr>
        <w:t>.</w:t>
      </w:r>
      <w:r w:rsidR="009250A7">
        <w:rPr>
          <w:b/>
          <w:lang w:eastAsia="ja-JP"/>
        </w:rPr>
        <w:t>5</w:t>
      </w:r>
    </w:p>
    <w:p w14:paraId="03CB133E" w14:textId="77777777" w:rsidR="002131C5" w:rsidRPr="003320EA" w:rsidRDefault="002131C5" w:rsidP="005D4D38">
      <w:pPr>
        <w:rPr>
          <w:b/>
          <w:lang w:eastAsia="ja-JP"/>
        </w:rPr>
      </w:pPr>
      <w:r w:rsidRPr="003320EA">
        <w:rPr>
          <w:b/>
          <w:lang w:eastAsia="ja-JP"/>
        </w:rPr>
        <w:t>Second Growth Nickel/Equalized Growth Nickel Facts</w:t>
      </w:r>
      <w:r w:rsidRPr="00B24626">
        <w:rPr>
          <w:lang w:eastAsia="ja-JP"/>
        </w:rPr>
        <w:t>………………………</w:t>
      </w:r>
      <w:r w:rsidR="00B24626">
        <w:rPr>
          <w:lang w:eastAsia="ja-JP"/>
        </w:rPr>
        <w:t>….</w:t>
      </w:r>
      <w:r w:rsidRPr="00B24626">
        <w:rPr>
          <w:lang w:eastAsia="ja-JP"/>
        </w:rPr>
        <w:t>…………………………………</w:t>
      </w:r>
      <w:r w:rsidR="00A87E8B">
        <w:rPr>
          <w:lang w:eastAsia="ja-JP"/>
        </w:rPr>
        <w:t>..</w:t>
      </w:r>
      <w:r w:rsidRPr="00B24626">
        <w:rPr>
          <w:lang w:eastAsia="ja-JP"/>
        </w:rPr>
        <w:t>………….</w:t>
      </w:r>
      <w:r w:rsidR="00284033">
        <w:rPr>
          <w:lang w:eastAsia="ja-JP"/>
        </w:rPr>
        <w:t>.</w:t>
      </w:r>
      <w:r w:rsidR="007D7BF0">
        <w:rPr>
          <w:b/>
          <w:lang w:eastAsia="ja-JP"/>
        </w:rPr>
        <w:t>6</w:t>
      </w:r>
    </w:p>
    <w:p w14:paraId="20ADD3C5" w14:textId="77777777" w:rsidR="002131C5" w:rsidRPr="003320EA" w:rsidRDefault="002131C5" w:rsidP="005D4D38">
      <w:pPr>
        <w:rPr>
          <w:b/>
          <w:lang w:eastAsia="ja-JP"/>
        </w:rPr>
      </w:pPr>
      <w:r w:rsidRPr="003320EA">
        <w:rPr>
          <w:b/>
          <w:lang w:eastAsia="ja-JP"/>
        </w:rPr>
        <w:t>Recallable Nickel/</w:t>
      </w:r>
      <w:r w:rsidRPr="003320EA">
        <w:rPr>
          <w:b/>
        </w:rPr>
        <w:t xml:space="preserve"> </w:t>
      </w:r>
      <w:r w:rsidRPr="003320EA">
        <w:rPr>
          <w:b/>
          <w:lang w:eastAsia="ja-JP"/>
        </w:rPr>
        <w:t>Retroactive Equalized Facility Funding Facts</w:t>
      </w:r>
      <w:r w:rsidRPr="00B24626">
        <w:rPr>
          <w:lang w:eastAsia="ja-JP"/>
        </w:rPr>
        <w:t>………………</w:t>
      </w:r>
      <w:r w:rsidR="00B24626">
        <w:rPr>
          <w:lang w:eastAsia="ja-JP"/>
        </w:rPr>
        <w:t>…</w:t>
      </w:r>
      <w:r w:rsidRPr="00B24626">
        <w:rPr>
          <w:lang w:eastAsia="ja-JP"/>
        </w:rPr>
        <w:t>…………………………………</w:t>
      </w:r>
      <w:r w:rsidR="00A87E8B">
        <w:rPr>
          <w:lang w:eastAsia="ja-JP"/>
        </w:rPr>
        <w:t>..</w:t>
      </w:r>
      <w:r w:rsidRPr="00B24626">
        <w:rPr>
          <w:lang w:eastAsia="ja-JP"/>
        </w:rPr>
        <w:t>……</w:t>
      </w:r>
      <w:r w:rsidR="005D4D38">
        <w:rPr>
          <w:lang w:eastAsia="ja-JP"/>
        </w:rPr>
        <w:t>.</w:t>
      </w:r>
      <w:r w:rsidRPr="00B24626">
        <w:rPr>
          <w:lang w:eastAsia="ja-JP"/>
        </w:rPr>
        <w:t>.</w:t>
      </w:r>
      <w:r w:rsidR="007D7BF0">
        <w:rPr>
          <w:b/>
          <w:lang w:eastAsia="ja-JP"/>
        </w:rPr>
        <w:t>7</w:t>
      </w:r>
    </w:p>
    <w:p w14:paraId="47A1E06B" w14:textId="77777777" w:rsidR="003320EA" w:rsidRPr="003320EA" w:rsidRDefault="003320EA" w:rsidP="005D4D38">
      <w:pPr>
        <w:rPr>
          <w:b/>
          <w:lang w:eastAsia="ja-JP"/>
        </w:rPr>
      </w:pPr>
      <w:r w:rsidRPr="003320EA">
        <w:rPr>
          <w:b/>
          <w:lang w:eastAsia="ja-JP"/>
        </w:rPr>
        <w:t>Equalized Facility Funding Nickel Facts</w:t>
      </w:r>
      <w:r w:rsidRPr="00B24626">
        <w:rPr>
          <w:lang w:eastAsia="ja-JP"/>
        </w:rPr>
        <w:t>……………………………………………………………………………</w:t>
      </w:r>
      <w:r w:rsidR="00B24626">
        <w:rPr>
          <w:lang w:eastAsia="ja-JP"/>
        </w:rPr>
        <w:t>….</w:t>
      </w:r>
      <w:r w:rsidRPr="00B24626">
        <w:rPr>
          <w:lang w:eastAsia="ja-JP"/>
        </w:rPr>
        <w:t>………………….</w:t>
      </w:r>
      <w:r w:rsidR="007D7BF0">
        <w:rPr>
          <w:b/>
          <w:lang w:eastAsia="ja-JP"/>
        </w:rPr>
        <w:t>8</w:t>
      </w:r>
    </w:p>
    <w:p w14:paraId="282B3706" w14:textId="77777777" w:rsidR="003320EA" w:rsidRPr="003320EA" w:rsidRDefault="003320EA" w:rsidP="005D4D38">
      <w:pPr>
        <w:rPr>
          <w:b/>
          <w:lang w:eastAsia="ja-JP"/>
        </w:rPr>
      </w:pPr>
      <w:r w:rsidRPr="003320EA">
        <w:rPr>
          <w:b/>
          <w:lang w:eastAsia="ja-JP"/>
        </w:rPr>
        <w:t>Base Realignment and Closure (BRAC) Nickel Facts</w:t>
      </w:r>
      <w:r w:rsidRPr="00B24626">
        <w:rPr>
          <w:lang w:eastAsia="ja-JP"/>
        </w:rPr>
        <w:t>………………………………………………………</w:t>
      </w:r>
      <w:r w:rsidR="00B24626">
        <w:rPr>
          <w:lang w:eastAsia="ja-JP"/>
        </w:rPr>
        <w:t>….</w:t>
      </w:r>
      <w:r w:rsidRPr="00B24626">
        <w:rPr>
          <w:lang w:eastAsia="ja-JP"/>
        </w:rPr>
        <w:t>………….…….…</w:t>
      </w:r>
      <w:r w:rsidRPr="00E036D1">
        <w:rPr>
          <w:b/>
          <w:lang w:eastAsia="ja-JP"/>
        </w:rPr>
        <w:t>.</w:t>
      </w:r>
      <w:r w:rsidR="00E036D1" w:rsidRPr="00E036D1">
        <w:rPr>
          <w:b/>
          <w:lang w:eastAsia="ja-JP"/>
        </w:rPr>
        <w:t>8</w:t>
      </w:r>
    </w:p>
    <w:p w14:paraId="1CEAA5F7" w14:textId="77777777" w:rsidR="003320EA" w:rsidRPr="003320EA" w:rsidRDefault="003320EA" w:rsidP="005D4D38">
      <w:pPr>
        <w:rPr>
          <w:b/>
          <w:lang w:eastAsia="ja-JP"/>
        </w:rPr>
      </w:pPr>
      <w:r w:rsidRPr="003320EA">
        <w:rPr>
          <w:b/>
          <w:lang w:eastAsia="ja-JP"/>
        </w:rPr>
        <w:t>Category 5 Nickel Facts</w:t>
      </w:r>
      <w:r w:rsidRPr="00B24626">
        <w:rPr>
          <w:lang w:eastAsia="ja-JP"/>
        </w:rPr>
        <w:t>………………………………………………………………………………………………………………</w:t>
      </w:r>
      <w:r w:rsidR="00B24626">
        <w:rPr>
          <w:lang w:eastAsia="ja-JP"/>
        </w:rPr>
        <w:t>……</w:t>
      </w:r>
      <w:r w:rsidR="007D7BF0">
        <w:rPr>
          <w:lang w:eastAsia="ja-JP"/>
        </w:rPr>
        <w:t>.</w:t>
      </w:r>
      <w:r w:rsidR="00A87E8B">
        <w:rPr>
          <w:lang w:eastAsia="ja-JP"/>
        </w:rPr>
        <w:t>…</w:t>
      </w:r>
      <w:r w:rsidR="00E036D1">
        <w:rPr>
          <w:lang w:eastAsia="ja-JP"/>
        </w:rPr>
        <w:t>….</w:t>
      </w:r>
      <w:r w:rsidR="00E036D1">
        <w:rPr>
          <w:b/>
          <w:lang w:eastAsia="ja-JP"/>
        </w:rPr>
        <w:t>9</w:t>
      </w:r>
    </w:p>
    <w:p w14:paraId="70EDC4D3" w14:textId="77777777" w:rsidR="003320EA" w:rsidRPr="003320EA" w:rsidRDefault="003320EA" w:rsidP="005D4D38">
      <w:pPr>
        <w:rPr>
          <w:b/>
          <w:lang w:eastAsia="ja-JP"/>
        </w:rPr>
      </w:pPr>
      <w:r w:rsidRPr="003320EA">
        <w:rPr>
          <w:b/>
          <w:lang w:eastAsia="ja-JP"/>
        </w:rPr>
        <w:t>Nickel Levy Chart</w:t>
      </w:r>
      <w:r w:rsidRPr="00B24626">
        <w:rPr>
          <w:lang w:eastAsia="ja-JP"/>
        </w:rPr>
        <w:t>………………………………………………………………………………………………………………………</w:t>
      </w:r>
      <w:r w:rsidR="00B24626">
        <w:rPr>
          <w:lang w:eastAsia="ja-JP"/>
        </w:rPr>
        <w:t>……</w:t>
      </w:r>
      <w:r w:rsidR="00A87E8B">
        <w:rPr>
          <w:lang w:eastAsia="ja-JP"/>
        </w:rPr>
        <w:t>…</w:t>
      </w:r>
      <w:r w:rsidR="0079771E">
        <w:rPr>
          <w:lang w:eastAsia="ja-JP"/>
        </w:rPr>
        <w:t>..…</w:t>
      </w:r>
      <w:r w:rsidR="0079771E" w:rsidRPr="0079771E">
        <w:rPr>
          <w:b/>
          <w:lang w:eastAsia="ja-JP"/>
        </w:rPr>
        <w:t>1</w:t>
      </w:r>
      <w:r w:rsidR="00E036D1">
        <w:rPr>
          <w:b/>
          <w:lang w:eastAsia="ja-JP"/>
        </w:rPr>
        <w:t>0</w:t>
      </w:r>
    </w:p>
    <w:p w14:paraId="6CA4D985" w14:textId="77777777" w:rsidR="00202522" w:rsidRPr="00202522" w:rsidRDefault="00202522" w:rsidP="00202522">
      <w:pPr>
        <w:rPr>
          <w:b/>
          <w:color w:val="FFFFFF" w:themeColor="background1"/>
          <w:lang w:eastAsia="ja-JP"/>
        </w:rPr>
      </w:pPr>
      <w:r w:rsidRPr="00202522">
        <w:rPr>
          <w:b/>
          <w:color w:val="FFFFFF" w:themeColor="background1"/>
          <w:lang w:eastAsia="ja-JP"/>
        </w:rPr>
        <w:t>Blank</w:t>
      </w:r>
    </w:p>
    <w:p w14:paraId="0B39C1B9" w14:textId="77777777" w:rsidR="00202522" w:rsidRPr="00202522" w:rsidRDefault="00202522" w:rsidP="00202522">
      <w:pPr>
        <w:rPr>
          <w:b/>
          <w:color w:val="FFFFFF" w:themeColor="background1"/>
          <w:lang w:eastAsia="ja-JP"/>
        </w:rPr>
      </w:pPr>
      <w:r w:rsidRPr="00202522">
        <w:rPr>
          <w:b/>
          <w:color w:val="FFFFFF" w:themeColor="background1"/>
          <w:lang w:eastAsia="ja-JP"/>
        </w:rPr>
        <w:t>Blank</w:t>
      </w:r>
    </w:p>
    <w:p w14:paraId="41C99A2B" w14:textId="77777777" w:rsidR="00202522" w:rsidRPr="00202522" w:rsidRDefault="00202522" w:rsidP="00202522">
      <w:pPr>
        <w:rPr>
          <w:b/>
          <w:color w:val="FFFFFF" w:themeColor="background1"/>
          <w:lang w:eastAsia="ja-JP"/>
        </w:rPr>
      </w:pPr>
      <w:r w:rsidRPr="00202522">
        <w:rPr>
          <w:b/>
          <w:color w:val="FFFFFF" w:themeColor="background1"/>
          <w:lang w:eastAsia="ja-JP"/>
        </w:rPr>
        <w:t>Blank</w:t>
      </w:r>
    </w:p>
    <w:p w14:paraId="6E2C33CB" w14:textId="77777777" w:rsidR="00202522" w:rsidRPr="00202522" w:rsidRDefault="00202522" w:rsidP="00202522">
      <w:pPr>
        <w:rPr>
          <w:b/>
          <w:color w:val="FFFFFF" w:themeColor="background1"/>
          <w:lang w:eastAsia="ja-JP"/>
        </w:rPr>
      </w:pPr>
      <w:r w:rsidRPr="00202522">
        <w:rPr>
          <w:b/>
          <w:color w:val="FFFFFF" w:themeColor="background1"/>
          <w:lang w:eastAsia="ja-JP"/>
        </w:rPr>
        <w:t>Blank</w:t>
      </w:r>
    </w:p>
    <w:p w14:paraId="30CBDA39" w14:textId="77777777" w:rsidR="00202522" w:rsidRPr="00202522" w:rsidRDefault="00202522" w:rsidP="00202522">
      <w:pPr>
        <w:rPr>
          <w:b/>
          <w:color w:val="FFFFFF" w:themeColor="background1"/>
          <w:lang w:eastAsia="ja-JP"/>
        </w:rPr>
      </w:pPr>
      <w:r w:rsidRPr="00202522">
        <w:rPr>
          <w:b/>
          <w:color w:val="FFFFFF" w:themeColor="background1"/>
          <w:lang w:eastAsia="ja-JP"/>
        </w:rPr>
        <w:t>Blank</w:t>
      </w:r>
    </w:p>
    <w:p w14:paraId="177F90B4" w14:textId="77777777" w:rsidR="00202522" w:rsidRPr="00202522" w:rsidRDefault="00202522" w:rsidP="00202522">
      <w:pPr>
        <w:rPr>
          <w:b/>
          <w:color w:val="FFFFFF" w:themeColor="background1"/>
          <w:lang w:eastAsia="ja-JP"/>
        </w:rPr>
      </w:pPr>
      <w:r w:rsidRPr="00202522">
        <w:rPr>
          <w:b/>
          <w:color w:val="FFFFFF" w:themeColor="background1"/>
          <w:lang w:eastAsia="ja-JP"/>
        </w:rPr>
        <w:t>Blank</w:t>
      </w:r>
    </w:p>
    <w:p w14:paraId="13DF149F" w14:textId="77777777" w:rsidR="00202522" w:rsidRDefault="00202522" w:rsidP="00202522">
      <w:pPr>
        <w:rPr>
          <w:b/>
          <w:color w:val="FFFFFF" w:themeColor="background1"/>
          <w:lang w:eastAsia="ja-JP"/>
        </w:rPr>
      </w:pPr>
      <w:r w:rsidRPr="00202522">
        <w:rPr>
          <w:b/>
          <w:color w:val="FFFFFF" w:themeColor="background1"/>
          <w:lang w:eastAsia="ja-JP"/>
        </w:rPr>
        <w:t>Blank</w:t>
      </w:r>
    </w:p>
    <w:p w14:paraId="7026D952" w14:textId="77777777" w:rsidR="00124DDE" w:rsidRPr="00202522" w:rsidRDefault="00124DDE" w:rsidP="00202522">
      <w:pPr>
        <w:rPr>
          <w:b/>
          <w:color w:val="FFFFFF" w:themeColor="background1"/>
          <w:lang w:eastAsia="ja-JP"/>
        </w:rPr>
      </w:pPr>
    </w:p>
    <w:p w14:paraId="1D6C1C85" w14:textId="77777777" w:rsidR="00202522" w:rsidRPr="00202522" w:rsidRDefault="00202522" w:rsidP="00202522">
      <w:pPr>
        <w:rPr>
          <w:b/>
          <w:color w:val="FFFFFF" w:themeColor="background1"/>
          <w:lang w:eastAsia="ja-JP"/>
        </w:rPr>
      </w:pPr>
      <w:r w:rsidRPr="00202522">
        <w:rPr>
          <w:b/>
          <w:color w:val="FFFFFF" w:themeColor="background1"/>
          <w:lang w:eastAsia="ja-JP"/>
        </w:rPr>
        <w:t>Blank</w:t>
      </w:r>
    </w:p>
    <w:p w14:paraId="578EEC5D" w14:textId="77777777" w:rsidR="00202522" w:rsidRPr="00202522" w:rsidRDefault="00202522" w:rsidP="00202522">
      <w:pPr>
        <w:rPr>
          <w:b/>
          <w:color w:val="FFFFFF" w:themeColor="background1"/>
          <w:lang w:eastAsia="ja-JP"/>
        </w:rPr>
      </w:pPr>
      <w:r w:rsidRPr="00202522">
        <w:rPr>
          <w:b/>
          <w:color w:val="FFFFFF" w:themeColor="background1"/>
          <w:lang w:eastAsia="ja-JP"/>
        </w:rPr>
        <w:t>Blank</w:t>
      </w:r>
    </w:p>
    <w:p w14:paraId="210E81A8" w14:textId="77777777" w:rsidR="00202522" w:rsidRDefault="00202522" w:rsidP="00202522">
      <w:pPr>
        <w:rPr>
          <w:b/>
          <w:lang w:eastAsia="ja-JP"/>
        </w:rPr>
      </w:pPr>
    </w:p>
    <w:p w14:paraId="4490C3A7" w14:textId="77777777" w:rsidR="00202522" w:rsidRPr="00202522" w:rsidRDefault="00202522" w:rsidP="00202522">
      <w:pPr>
        <w:rPr>
          <w:b/>
          <w:lang w:eastAsia="ja-JP"/>
        </w:rPr>
      </w:pPr>
    </w:p>
    <w:p w14:paraId="00AEAB4C" w14:textId="77777777" w:rsidR="002F3F59" w:rsidRDefault="002F3F59" w:rsidP="00C1772B">
      <w:pPr>
        <w:spacing w:line="240" w:lineRule="auto"/>
        <w:jc w:val="center"/>
        <w:rPr>
          <w:b/>
          <w:sz w:val="28"/>
          <w:szCs w:val="28"/>
        </w:rPr>
      </w:pPr>
      <w:r w:rsidRPr="001F39AB">
        <w:rPr>
          <w:b/>
          <w:sz w:val="28"/>
          <w:szCs w:val="28"/>
        </w:rPr>
        <w:lastRenderedPageBreak/>
        <w:t xml:space="preserve">Nickel Summary </w:t>
      </w:r>
    </w:p>
    <w:p w14:paraId="47EE3CFA" w14:textId="77777777" w:rsidR="009C4648" w:rsidRDefault="002310C4" w:rsidP="00C1772B">
      <w:pPr>
        <w:spacing w:line="240" w:lineRule="auto"/>
        <w:ind w:firstLine="720"/>
      </w:pPr>
      <w:r w:rsidRPr="002310C4">
        <w:t xml:space="preserve">In the past decade, the General Assembly has created additional </w:t>
      </w:r>
      <w:r w:rsidR="0084381A">
        <w:t xml:space="preserve">funding sources for </w:t>
      </w:r>
      <w:r w:rsidRPr="002310C4">
        <w:t>facility construction to address specific characteristics or n</w:t>
      </w:r>
      <w:r w:rsidR="0084381A">
        <w:t xml:space="preserve">eeds of local school districts.  </w:t>
      </w:r>
      <w:r w:rsidR="00C1772B">
        <w:t xml:space="preserve">Nickels are levied by districts that meet criteria of a growth district based on growth in the number of students, bonded indebtedness, current student enrollment in excess of available classroom space, facility plan requirements,  debt service, and renovations.  </w:t>
      </w:r>
      <w:r w:rsidRPr="002310C4">
        <w:t>Legislation and budget language created opportunities for distri</w:t>
      </w:r>
      <w:r w:rsidR="0084381A">
        <w:t xml:space="preserve">cts meeting specific </w:t>
      </w:r>
      <w:r w:rsidRPr="002310C4">
        <w:t>criteria to increase tax rates at the local level.</w:t>
      </w:r>
      <w:r w:rsidR="0084381A" w:rsidRPr="0084381A">
        <w:t xml:space="preserve"> </w:t>
      </w:r>
      <w:r w:rsidR="009C4648">
        <w:t>The tax rate increase is referred to as Nickel Tax Levies.</w:t>
      </w:r>
      <w:r w:rsidR="009C4648" w:rsidRPr="009C4648">
        <w:t xml:space="preserve"> </w:t>
      </w:r>
      <w:r w:rsidR="009C4648">
        <w:t>L</w:t>
      </w:r>
      <w:r w:rsidR="009C4648" w:rsidRPr="0084381A">
        <w:t xml:space="preserve">ocal school building taxes are called nickels because they </w:t>
      </w:r>
      <w:r w:rsidR="001E2FEA" w:rsidRPr="0084381A">
        <w:t xml:space="preserve">are </w:t>
      </w:r>
      <w:r w:rsidR="001E2FEA">
        <w:t xml:space="preserve">five </w:t>
      </w:r>
      <w:r w:rsidR="009C4648" w:rsidRPr="0084381A">
        <w:t>cent equivalent taxes</w:t>
      </w:r>
      <w:r w:rsidR="009C4648">
        <w:t>.</w:t>
      </w:r>
    </w:p>
    <w:p w14:paraId="19A62FC5" w14:textId="77777777" w:rsidR="004E6EAC" w:rsidRDefault="008C037F" w:rsidP="008C037F">
      <w:pPr>
        <w:ind w:firstLine="720"/>
      </w:pPr>
      <w:r>
        <w:t xml:space="preserve">The actual tax rate that districts levy to produce the five cents equivalent tax is greater than five cents because the </w:t>
      </w:r>
      <w:r w:rsidR="001E2FEA">
        <w:t xml:space="preserve">SEEK </w:t>
      </w:r>
      <w:r>
        <w:t xml:space="preserve">calculation takes into consideration that the tax is </w:t>
      </w:r>
      <w:r w:rsidR="001E2FEA">
        <w:t>exclusively</w:t>
      </w:r>
      <w:r>
        <w:t xml:space="preserve"> applied to real estate and personal property</w:t>
      </w:r>
      <w:r w:rsidR="001E2FEA">
        <w:t>.  However, it is</w:t>
      </w:r>
      <w:r>
        <w:t xml:space="preserve"> not</w:t>
      </w:r>
      <w:r w:rsidR="001E2FEA">
        <w:t xml:space="preserve"> applied to</w:t>
      </w:r>
      <w:r>
        <w:t xml:space="preserve"> motor vehicles</w:t>
      </w:r>
      <w:r w:rsidR="001E2FEA">
        <w:t xml:space="preserve"> </w:t>
      </w:r>
      <w:r>
        <w:t xml:space="preserve">and also adjusts </w:t>
      </w:r>
      <w:r w:rsidR="001E2FEA">
        <w:t>in anticipation</w:t>
      </w:r>
      <w:r>
        <w:t xml:space="preserve"> that districts will collect less than </w:t>
      </w:r>
      <w:r w:rsidR="001E2FEA">
        <w:t>one hundred percent of the actual tax revenue owed</w:t>
      </w:r>
      <w:r>
        <w:t xml:space="preserve">.  Regardless of the amount </w:t>
      </w:r>
      <w:r w:rsidR="001E2FEA">
        <w:t>of tax collection</w:t>
      </w:r>
      <w:r>
        <w:t>, districts are required to transfer the exact amount produced by five cents per one hundred dollars of assessed value of property and motor vehicles to the</w:t>
      </w:r>
      <w:r w:rsidR="001E2FEA">
        <w:t>ir</w:t>
      </w:r>
      <w:r>
        <w:t xml:space="preserve"> building fund.</w:t>
      </w:r>
      <w:r w:rsidRPr="008C037F">
        <w:t xml:space="preserve"> </w:t>
      </w:r>
      <w:r w:rsidRPr="008C037F">
        <w:rPr>
          <w:i/>
        </w:rPr>
        <w:t>Source:  Office of Education Accountability, Tax Issue Paper, “Understanding How Tax Provisions Interact with the SEEK Formula”</w:t>
      </w:r>
      <w:r w:rsidR="004E6EAC" w:rsidRPr="004E6EAC">
        <w:t xml:space="preserve"> </w:t>
      </w:r>
    </w:p>
    <w:p w14:paraId="17835B8E" w14:textId="77777777" w:rsidR="008C037F" w:rsidRPr="008C037F" w:rsidRDefault="004E6EAC" w:rsidP="009573A0">
      <w:pPr>
        <w:ind w:firstLine="720"/>
        <w:rPr>
          <w:i/>
        </w:rPr>
      </w:pPr>
      <w:r w:rsidRPr="002310C4">
        <w:t>The local sources of funding for school facilities c</w:t>
      </w:r>
      <w:r>
        <w:t>onstruction and renovation are:</w:t>
      </w:r>
    </w:p>
    <w:p w14:paraId="255C18E6" w14:textId="77777777" w:rsidR="004E6EAC" w:rsidRDefault="004E6EAC" w:rsidP="004E6EAC">
      <w:pPr>
        <w:numPr>
          <w:ilvl w:val="0"/>
          <w:numId w:val="1"/>
        </w:numPr>
      </w:pPr>
      <w:r w:rsidRPr="007C0BEC">
        <w:rPr>
          <w:b/>
        </w:rPr>
        <w:t>FSPK</w:t>
      </w:r>
      <w:r>
        <w:rPr>
          <w:b/>
        </w:rPr>
        <w:t xml:space="preserve"> (Facilities Support Program of Kentucky)</w:t>
      </w:r>
      <w:r w:rsidRPr="007C0BEC">
        <w:rPr>
          <w:b/>
        </w:rPr>
        <w:t xml:space="preserve"> </w:t>
      </w:r>
      <w:r>
        <w:t xml:space="preserve">  (</w:t>
      </w:r>
      <w:r w:rsidRPr="007C0BEC">
        <w:t>K</w:t>
      </w:r>
      <w:r>
        <w:t xml:space="preserve">entucky </w:t>
      </w:r>
      <w:r w:rsidRPr="007C0BEC">
        <w:t>R</w:t>
      </w:r>
      <w:r>
        <w:t xml:space="preserve">evised </w:t>
      </w:r>
      <w:r w:rsidRPr="007C0BEC">
        <w:t>S</w:t>
      </w:r>
      <w:r>
        <w:t>tatue</w:t>
      </w:r>
      <w:r w:rsidRPr="007C0BEC">
        <w:t xml:space="preserve"> 157.440 (b)</w:t>
      </w:r>
      <w:r>
        <w:t>)</w:t>
      </w:r>
    </w:p>
    <w:p w14:paraId="5933FFE0" w14:textId="77777777" w:rsidR="004E6EAC" w:rsidRDefault="004E6EAC" w:rsidP="004E6EAC">
      <w:pPr>
        <w:numPr>
          <w:ilvl w:val="0"/>
          <w:numId w:val="1"/>
        </w:numPr>
      </w:pPr>
      <w:r w:rsidRPr="007C0BEC">
        <w:rPr>
          <w:b/>
        </w:rPr>
        <w:t>Growth Nickel</w:t>
      </w:r>
      <w:r>
        <w:t xml:space="preserve"> (</w:t>
      </w:r>
      <w:r w:rsidRPr="007C0BEC">
        <w:t>K</w:t>
      </w:r>
      <w:r>
        <w:t xml:space="preserve">entucky </w:t>
      </w:r>
      <w:r w:rsidRPr="007C0BEC">
        <w:t>R</w:t>
      </w:r>
      <w:r>
        <w:t xml:space="preserve">evised </w:t>
      </w:r>
      <w:r w:rsidRPr="007C0BEC">
        <w:t>S</w:t>
      </w:r>
      <w:r>
        <w:t>tatue</w:t>
      </w:r>
      <w:r w:rsidRPr="007C0BEC">
        <w:t xml:space="preserve"> 157.621</w:t>
      </w:r>
      <w:r>
        <w:t>)</w:t>
      </w:r>
    </w:p>
    <w:p w14:paraId="3AEC29CA" w14:textId="77777777" w:rsidR="004E6EAC" w:rsidRPr="007C0BEC" w:rsidRDefault="004E6EAC" w:rsidP="004E6EAC">
      <w:pPr>
        <w:numPr>
          <w:ilvl w:val="0"/>
          <w:numId w:val="1"/>
        </w:numPr>
        <w:rPr>
          <w:b/>
        </w:rPr>
      </w:pPr>
      <w:r w:rsidRPr="007C0BEC">
        <w:rPr>
          <w:b/>
        </w:rPr>
        <w:t xml:space="preserve">Second Growth Nickel </w:t>
      </w:r>
      <w:r w:rsidRPr="007C0BEC">
        <w:t xml:space="preserve">(2003/2005 Budget Language) </w:t>
      </w:r>
    </w:p>
    <w:p w14:paraId="110BF610" w14:textId="4E066D96" w:rsidR="004E6EAC" w:rsidRPr="007C0BEC" w:rsidRDefault="004E6EAC" w:rsidP="004E6EAC">
      <w:pPr>
        <w:numPr>
          <w:ilvl w:val="0"/>
          <w:numId w:val="1"/>
        </w:numPr>
      </w:pPr>
      <w:r w:rsidRPr="007C0BEC">
        <w:rPr>
          <w:b/>
        </w:rPr>
        <w:t xml:space="preserve">Recallable Nickel </w:t>
      </w:r>
      <w:r w:rsidRPr="00E449D6">
        <w:t>(2003</w:t>
      </w:r>
      <w:r w:rsidR="00BE7DC8">
        <w:t xml:space="preserve"> - 2022</w:t>
      </w:r>
      <w:r w:rsidRPr="00E449D6">
        <w:t xml:space="preserve"> Budget Language)</w:t>
      </w:r>
    </w:p>
    <w:p w14:paraId="12EB88D3" w14:textId="77777777" w:rsidR="004E6EAC" w:rsidRPr="007C0BEC" w:rsidRDefault="004E6EAC" w:rsidP="004E6EAC">
      <w:pPr>
        <w:numPr>
          <w:ilvl w:val="0"/>
          <w:numId w:val="1"/>
        </w:numPr>
        <w:rPr>
          <w:b/>
        </w:rPr>
      </w:pPr>
      <w:r w:rsidRPr="007C0BEC">
        <w:rPr>
          <w:b/>
        </w:rPr>
        <w:t>Eq</w:t>
      </w:r>
      <w:r w:rsidR="00202522">
        <w:rPr>
          <w:b/>
        </w:rPr>
        <w:t xml:space="preserve">ualized Facility Funding Nickel </w:t>
      </w:r>
      <w:r w:rsidRPr="007C0BEC">
        <w:t>(House Bill 267</w:t>
      </w:r>
      <w:r>
        <w:t xml:space="preserve"> (2005)</w:t>
      </w:r>
      <w:r w:rsidRPr="007C0BEC">
        <w:t>)</w:t>
      </w:r>
    </w:p>
    <w:p w14:paraId="70ECC54A" w14:textId="6A134F25" w:rsidR="004E6EAC" w:rsidRPr="007C0BEC" w:rsidRDefault="004E6EAC" w:rsidP="004E6EAC">
      <w:pPr>
        <w:numPr>
          <w:ilvl w:val="0"/>
          <w:numId w:val="1"/>
        </w:numPr>
        <w:rPr>
          <w:b/>
        </w:rPr>
      </w:pPr>
      <w:r w:rsidRPr="007C0BEC">
        <w:rPr>
          <w:b/>
        </w:rPr>
        <w:t xml:space="preserve">BRAC (Base </w:t>
      </w:r>
      <w:r w:rsidR="00202522">
        <w:rPr>
          <w:b/>
        </w:rPr>
        <w:t xml:space="preserve">Realignment and Closure) Nickel </w:t>
      </w:r>
      <w:r w:rsidR="009360AC" w:rsidRPr="009360AC">
        <w:rPr>
          <w:bCs/>
        </w:rPr>
        <w:t>(</w:t>
      </w:r>
      <w:r>
        <w:t>House Bill 704 (2008))</w:t>
      </w:r>
    </w:p>
    <w:p w14:paraId="4659A264" w14:textId="77777777" w:rsidR="004E6EAC" w:rsidRPr="00C1772B" w:rsidRDefault="00202522" w:rsidP="00C1772B">
      <w:pPr>
        <w:numPr>
          <w:ilvl w:val="0"/>
          <w:numId w:val="1"/>
        </w:numPr>
        <w:spacing w:line="240" w:lineRule="auto"/>
        <w:rPr>
          <w:b/>
        </w:rPr>
      </w:pPr>
      <w:r>
        <w:rPr>
          <w:b/>
        </w:rPr>
        <w:t xml:space="preserve">Category 5 Nickel </w:t>
      </w:r>
      <w:r w:rsidR="004E6EAC" w:rsidRPr="00E449D6">
        <w:t>(</w:t>
      </w:r>
      <w:r w:rsidR="004E6EAC">
        <w:t>Senate Bill 5 (</w:t>
      </w:r>
      <w:r w:rsidR="00AF39DD">
        <w:t xml:space="preserve">2010 </w:t>
      </w:r>
      <w:r w:rsidR="004E6EAC">
        <w:t>Extraordinary Session))</w:t>
      </w:r>
    </w:p>
    <w:p w14:paraId="77B7AF91" w14:textId="77777777" w:rsidR="008422E4" w:rsidRDefault="008422E4" w:rsidP="008422E4">
      <w:pPr>
        <w:spacing w:line="240" w:lineRule="auto"/>
        <w:ind w:left="720"/>
      </w:pPr>
    </w:p>
    <w:p w14:paraId="5CD73453" w14:textId="3523F823" w:rsidR="002F3F59" w:rsidRDefault="002310C4" w:rsidP="00C1772B">
      <w:pPr>
        <w:spacing w:line="240" w:lineRule="auto"/>
        <w:ind w:firstLine="360"/>
      </w:pPr>
      <w:r w:rsidRPr="002310C4">
        <w:t>In some ins</w:t>
      </w:r>
      <w:r w:rsidR="0084381A">
        <w:t xml:space="preserve">tances the General Assembly has </w:t>
      </w:r>
      <w:r w:rsidRPr="002310C4">
        <w:t xml:space="preserve">equalized the locally raised revenue. </w:t>
      </w:r>
      <w:r w:rsidR="001E2FEA">
        <w:t>House Bill 704 and 734 placed into statutory language (KRS 157.621) that defines the qualifications for the equalization portion of the nickel which is “subject to provision of fu</w:t>
      </w:r>
      <w:r w:rsidR="004E6EAC">
        <w:t>nding by the General Assembly” which applied to Original Growth, Second Growth, BRAC, Recallable and EFF Nickels.  This amount is equalized at one hundred and fifty percent</w:t>
      </w:r>
      <w:r w:rsidR="00BB332B">
        <w:t xml:space="preserve"> (150%)</w:t>
      </w:r>
      <w:r w:rsidR="004E6EAC">
        <w:t xml:space="preserve"> of the statewide average per-pupil assessment</w:t>
      </w:r>
      <w:r w:rsidR="00F67CBC">
        <w:t xml:space="preserve">. </w:t>
      </w:r>
      <w:r w:rsidR="00F67CBC" w:rsidRPr="000D0918">
        <w:t>Per</w:t>
      </w:r>
      <w:r w:rsidR="004003D5" w:rsidRPr="000D0918">
        <w:t xml:space="preserve"> HB </w:t>
      </w:r>
      <w:r w:rsidR="00E21E2F" w:rsidRPr="000D0918">
        <w:t>1</w:t>
      </w:r>
      <w:r w:rsidR="004003D5" w:rsidRPr="000D0918">
        <w:t xml:space="preserve"> (20</w:t>
      </w:r>
      <w:r w:rsidR="00E21E2F" w:rsidRPr="000D0918">
        <w:t>22</w:t>
      </w:r>
      <w:r w:rsidR="004003D5" w:rsidRPr="000D0918">
        <w:t xml:space="preserve"> RS VO</w:t>
      </w:r>
      <w:r w:rsidR="00FD5340" w:rsidRPr="000D0918">
        <w:t xml:space="preserve"> in Part</w:t>
      </w:r>
      <w:r w:rsidR="004003D5" w:rsidRPr="000D0918">
        <w:t>), it is the intent of the 20</w:t>
      </w:r>
      <w:r w:rsidR="00FD5340" w:rsidRPr="000D0918">
        <w:t>22</w:t>
      </w:r>
      <w:r w:rsidR="004003D5" w:rsidRPr="000D0918">
        <w:t xml:space="preserve"> General Assembly that any</w:t>
      </w:r>
      <w:r w:rsidR="00FE6790" w:rsidRPr="000D0918">
        <w:t xml:space="preserve"> local</w:t>
      </w:r>
      <w:r w:rsidR="004003D5" w:rsidRPr="000D0918">
        <w:t xml:space="preserve"> school district </w:t>
      </w:r>
      <w:r w:rsidR="00FE6790" w:rsidRPr="000D0918">
        <w:t xml:space="preserve">receiving partial equalization under this subsection </w:t>
      </w:r>
      <w:r w:rsidR="00036CB1" w:rsidRPr="000D0918">
        <w:rPr>
          <w:rStyle w:val="ui-provider"/>
        </w:rPr>
        <w:t>in the 2022-2024 fiscal biennium shall receive full calculated equalization in the</w:t>
      </w:r>
      <w:r w:rsidR="00036CB1">
        <w:rPr>
          <w:rStyle w:val="ui-provider"/>
        </w:rPr>
        <w:t xml:space="preserve"> 2024-2026 fiscal biennium and thereafter, until the earlier of 20 years of the effective </w:t>
      </w:r>
      <w:r w:rsidR="000D0918">
        <w:rPr>
          <w:rStyle w:val="ui-provider"/>
        </w:rPr>
        <w:t>date of this Act, or the date the bonds for the local school district supported by this equalization are retired, in accordance with KRS 157.621(2).</w:t>
      </w:r>
    </w:p>
    <w:p w14:paraId="0F9287A3" w14:textId="77777777" w:rsidR="007F31E4" w:rsidRDefault="007F31E4" w:rsidP="007F31E4">
      <w:pPr>
        <w:rPr>
          <w:b/>
          <w:sz w:val="28"/>
          <w:szCs w:val="28"/>
        </w:rPr>
      </w:pPr>
      <w:r>
        <w:rPr>
          <w:b/>
          <w:sz w:val="28"/>
          <w:szCs w:val="28"/>
        </w:rPr>
        <w:lastRenderedPageBreak/>
        <w:t>Nickel</w:t>
      </w:r>
      <w:r w:rsidRPr="001F39AB">
        <w:rPr>
          <w:b/>
          <w:sz w:val="28"/>
          <w:szCs w:val="28"/>
        </w:rPr>
        <w:t xml:space="preserve"> Calculation</w:t>
      </w:r>
      <w:r>
        <w:rPr>
          <w:b/>
          <w:sz w:val="28"/>
          <w:szCs w:val="28"/>
        </w:rPr>
        <w:t>s</w:t>
      </w:r>
      <w:r w:rsidRPr="001F39AB">
        <w:rPr>
          <w:b/>
          <w:sz w:val="28"/>
          <w:szCs w:val="28"/>
        </w:rPr>
        <w:t>:</w:t>
      </w:r>
    </w:p>
    <w:p w14:paraId="036A29F9" w14:textId="77777777" w:rsidR="00C1772B" w:rsidRDefault="00C1772B" w:rsidP="007F31E4">
      <w:pPr>
        <w:rPr>
          <w:b/>
          <w:sz w:val="28"/>
          <w:szCs w:val="28"/>
        </w:rPr>
      </w:pPr>
    </w:p>
    <w:tbl>
      <w:tblPr>
        <w:tblW w:w="8217" w:type="dxa"/>
        <w:tblInd w:w="93" w:type="dxa"/>
        <w:tblLook w:val="04A0" w:firstRow="1" w:lastRow="0" w:firstColumn="1" w:lastColumn="0" w:noHBand="0" w:noVBand="1"/>
      </w:tblPr>
      <w:tblGrid>
        <w:gridCol w:w="357"/>
        <w:gridCol w:w="5960"/>
        <w:gridCol w:w="1900"/>
      </w:tblGrid>
      <w:tr w:rsidR="007F31E4" w:rsidRPr="007F31E4" w14:paraId="5C6A2964" w14:textId="77777777" w:rsidTr="007F31E4">
        <w:trPr>
          <w:trHeight w:val="315"/>
        </w:trPr>
        <w:tc>
          <w:tcPr>
            <w:tcW w:w="357" w:type="dxa"/>
            <w:tcBorders>
              <w:top w:val="single" w:sz="8" w:space="0" w:color="auto"/>
              <w:left w:val="single" w:sz="8" w:space="0" w:color="auto"/>
              <w:bottom w:val="nil"/>
              <w:right w:val="nil"/>
            </w:tcBorders>
            <w:shd w:val="clear" w:color="000000" w:fill="FFFF00"/>
            <w:noWrap/>
            <w:vAlign w:val="bottom"/>
            <w:hideMark/>
          </w:tcPr>
          <w:p w14:paraId="1AD8D9F3" w14:textId="77777777" w:rsidR="007F31E4" w:rsidRPr="007F31E4" w:rsidRDefault="007F31E4" w:rsidP="007F31E4">
            <w:pPr>
              <w:spacing w:after="0" w:line="240" w:lineRule="auto"/>
              <w:rPr>
                <w:rFonts w:ascii="Arial" w:eastAsia="Times New Roman" w:hAnsi="Arial" w:cs="Arial"/>
                <w:b/>
                <w:bCs/>
                <w:sz w:val="24"/>
                <w:szCs w:val="24"/>
              </w:rPr>
            </w:pPr>
            <w:r w:rsidRPr="007F31E4">
              <w:rPr>
                <w:rFonts w:ascii="Arial" w:eastAsia="Times New Roman" w:hAnsi="Arial" w:cs="Arial"/>
                <w:b/>
                <w:bCs/>
                <w:sz w:val="24"/>
                <w:szCs w:val="24"/>
              </w:rPr>
              <w:t> </w:t>
            </w:r>
          </w:p>
        </w:tc>
        <w:tc>
          <w:tcPr>
            <w:tcW w:w="7860" w:type="dxa"/>
            <w:gridSpan w:val="2"/>
            <w:tcBorders>
              <w:top w:val="single" w:sz="8" w:space="0" w:color="auto"/>
              <w:left w:val="nil"/>
              <w:bottom w:val="nil"/>
              <w:right w:val="single" w:sz="8" w:space="0" w:color="000000"/>
            </w:tcBorders>
            <w:shd w:val="clear" w:color="000000" w:fill="FFFF00"/>
            <w:noWrap/>
            <w:vAlign w:val="bottom"/>
            <w:hideMark/>
          </w:tcPr>
          <w:p w14:paraId="0C2E045D" w14:textId="77777777" w:rsidR="007F31E4" w:rsidRPr="007F31E4" w:rsidRDefault="007F31E4" w:rsidP="007F31E4">
            <w:pPr>
              <w:spacing w:after="0" w:line="240" w:lineRule="auto"/>
              <w:jc w:val="center"/>
              <w:rPr>
                <w:rFonts w:eastAsia="Times New Roman" w:cs="Arial"/>
                <w:b/>
                <w:bCs/>
                <w:sz w:val="24"/>
                <w:szCs w:val="24"/>
              </w:rPr>
            </w:pPr>
            <w:r w:rsidRPr="007F31E4">
              <w:rPr>
                <w:rFonts w:eastAsia="Times New Roman" w:cs="Arial"/>
                <w:b/>
                <w:bCs/>
                <w:sz w:val="24"/>
                <w:szCs w:val="24"/>
              </w:rPr>
              <w:t>Local Nickel Revenue</w:t>
            </w:r>
          </w:p>
        </w:tc>
      </w:tr>
      <w:tr w:rsidR="007F31E4" w:rsidRPr="007F31E4" w14:paraId="583BB890" w14:textId="77777777" w:rsidTr="007F31E4">
        <w:trPr>
          <w:trHeight w:val="315"/>
        </w:trPr>
        <w:tc>
          <w:tcPr>
            <w:tcW w:w="357" w:type="dxa"/>
            <w:tcBorders>
              <w:top w:val="single" w:sz="4" w:space="0" w:color="auto"/>
              <w:left w:val="single" w:sz="4" w:space="0" w:color="auto"/>
              <w:bottom w:val="nil"/>
              <w:right w:val="nil"/>
            </w:tcBorders>
            <w:shd w:val="clear" w:color="000000" w:fill="FFFFFF"/>
            <w:noWrap/>
            <w:vAlign w:val="bottom"/>
            <w:hideMark/>
          </w:tcPr>
          <w:p w14:paraId="6FC2D7B6" w14:textId="77777777" w:rsidR="007F31E4" w:rsidRPr="007F31E4" w:rsidRDefault="007F31E4" w:rsidP="007F31E4">
            <w:pPr>
              <w:spacing w:after="0" w:line="240" w:lineRule="auto"/>
              <w:rPr>
                <w:rFonts w:ascii="Arial" w:eastAsia="Times New Roman" w:hAnsi="Arial" w:cs="Arial"/>
                <w:b/>
                <w:bCs/>
                <w:sz w:val="24"/>
                <w:szCs w:val="24"/>
              </w:rPr>
            </w:pPr>
            <w:r w:rsidRPr="007F31E4">
              <w:rPr>
                <w:rFonts w:ascii="Arial" w:eastAsia="Times New Roman" w:hAnsi="Arial" w:cs="Arial"/>
                <w:b/>
                <w:bCs/>
                <w:sz w:val="24"/>
                <w:szCs w:val="24"/>
              </w:rPr>
              <w:t> </w:t>
            </w:r>
          </w:p>
        </w:tc>
        <w:tc>
          <w:tcPr>
            <w:tcW w:w="5960" w:type="dxa"/>
            <w:tcBorders>
              <w:top w:val="single" w:sz="4" w:space="0" w:color="auto"/>
              <w:left w:val="nil"/>
              <w:bottom w:val="nil"/>
              <w:right w:val="nil"/>
            </w:tcBorders>
            <w:shd w:val="clear" w:color="000000" w:fill="FFFFFF"/>
            <w:noWrap/>
            <w:vAlign w:val="bottom"/>
            <w:hideMark/>
          </w:tcPr>
          <w:p w14:paraId="20DA6106" w14:textId="77777777" w:rsidR="007F31E4" w:rsidRPr="007F31E4" w:rsidRDefault="007F31E4" w:rsidP="007F31E4">
            <w:pPr>
              <w:spacing w:after="0" w:line="240" w:lineRule="auto"/>
              <w:rPr>
                <w:rFonts w:eastAsia="Times New Roman" w:cs="Arial"/>
                <w:sz w:val="24"/>
                <w:szCs w:val="24"/>
              </w:rPr>
            </w:pPr>
            <w:r w:rsidRPr="007F31E4">
              <w:rPr>
                <w:rFonts w:eastAsia="Times New Roman" w:cs="Arial"/>
                <w:sz w:val="24"/>
                <w:szCs w:val="24"/>
              </w:rPr>
              <w:t>Nickel Equivalent Levy</w:t>
            </w:r>
          </w:p>
        </w:tc>
        <w:tc>
          <w:tcPr>
            <w:tcW w:w="1900" w:type="dxa"/>
            <w:tcBorders>
              <w:top w:val="single" w:sz="4" w:space="0" w:color="auto"/>
              <w:left w:val="nil"/>
              <w:bottom w:val="nil"/>
              <w:right w:val="single" w:sz="4" w:space="0" w:color="auto"/>
            </w:tcBorders>
            <w:shd w:val="clear" w:color="000000" w:fill="FFFFFF"/>
            <w:noWrap/>
            <w:vAlign w:val="bottom"/>
            <w:hideMark/>
          </w:tcPr>
          <w:p w14:paraId="74C8D90D" w14:textId="77777777" w:rsidR="007F31E4" w:rsidRPr="007F31E4" w:rsidRDefault="007F31E4" w:rsidP="007F31E4">
            <w:pPr>
              <w:spacing w:after="0" w:line="240" w:lineRule="auto"/>
              <w:jc w:val="right"/>
              <w:rPr>
                <w:rFonts w:eastAsia="Times New Roman" w:cs="Arial"/>
                <w:sz w:val="24"/>
                <w:szCs w:val="24"/>
              </w:rPr>
            </w:pPr>
            <w:r w:rsidRPr="007F31E4">
              <w:rPr>
                <w:rFonts w:eastAsia="Times New Roman" w:cs="Arial"/>
                <w:sz w:val="24"/>
                <w:szCs w:val="24"/>
              </w:rPr>
              <w:t>0.0005</w:t>
            </w:r>
            <w:r w:rsidR="002D0918">
              <w:rPr>
                <w:rFonts w:eastAsia="Times New Roman" w:cs="Arial"/>
                <w:sz w:val="24"/>
                <w:szCs w:val="24"/>
              </w:rPr>
              <w:t>*</w:t>
            </w:r>
          </w:p>
        </w:tc>
      </w:tr>
      <w:tr w:rsidR="007F31E4" w:rsidRPr="007F31E4" w14:paraId="1A7F0BF3" w14:textId="77777777" w:rsidTr="007F31E4">
        <w:trPr>
          <w:trHeight w:val="315"/>
        </w:trPr>
        <w:tc>
          <w:tcPr>
            <w:tcW w:w="357" w:type="dxa"/>
            <w:tcBorders>
              <w:top w:val="nil"/>
              <w:left w:val="single" w:sz="4" w:space="0" w:color="auto"/>
              <w:bottom w:val="nil"/>
              <w:right w:val="nil"/>
            </w:tcBorders>
            <w:shd w:val="clear" w:color="000000" w:fill="FFFFFF"/>
            <w:noWrap/>
            <w:vAlign w:val="bottom"/>
            <w:hideMark/>
          </w:tcPr>
          <w:p w14:paraId="06245B6F" w14:textId="77777777" w:rsidR="007F31E4" w:rsidRPr="007F31E4" w:rsidRDefault="007F31E4" w:rsidP="007F31E4">
            <w:pPr>
              <w:spacing w:after="0" w:line="240" w:lineRule="auto"/>
              <w:rPr>
                <w:rFonts w:ascii="Arial" w:eastAsia="Times New Roman" w:hAnsi="Arial" w:cs="Arial"/>
                <w:b/>
                <w:bCs/>
                <w:sz w:val="24"/>
                <w:szCs w:val="24"/>
              </w:rPr>
            </w:pPr>
            <w:r w:rsidRPr="007F31E4">
              <w:rPr>
                <w:rFonts w:ascii="Arial" w:eastAsia="Times New Roman" w:hAnsi="Arial" w:cs="Arial"/>
                <w:b/>
                <w:bCs/>
                <w:sz w:val="24"/>
                <w:szCs w:val="24"/>
              </w:rPr>
              <w:t>x</w:t>
            </w:r>
          </w:p>
        </w:tc>
        <w:tc>
          <w:tcPr>
            <w:tcW w:w="5960" w:type="dxa"/>
            <w:tcBorders>
              <w:top w:val="nil"/>
              <w:left w:val="nil"/>
              <w:bottom w:val="nil"/>
              <w:right w:val="nil"/>
            </w:tcBorders>
            <w:shd w:val="clear" w:color="000000" w:fill="FFFFFF"/>
            <w:noWrap/>
            <w:vAlign w:val="bottom"/>
            <w:hideMark/>
          </w:tcPr>
          <w:p w14:paraId="3BD4731D" w14:textId="77777777" w:rsidR="007F31E4" w:rsidRPr="007F31E4" w:rsidRDefault="007F31E4" w:rsidP="007F31E4">
            <w:pPr>
              <w:spacing w:after="0" w:line="240" w:lineRule="auto"/>
              <w:rPr>
                <w:rFonts w:eastAsia="Times New Roman" w:cs="Arial"/>
                <w:sz w:val="24"/>
                <w:szCs w:val="24"/>
              </w:rPr>
            </w:pPr>
            <w:r w:rsidRPr="007F31E4">
              <w:rPr>
                <w:rFonts w:eastAsia="Times New Roman" w:cs="Arial"/>
                <w:sz w:val="24"/>
                <w:szCs w:val="24"/>
              </w:rPr>
              <w:t>Total Assessment</w:t>
            </w:r>
          </w:p>
        </w:tc>
        <w:tc>
          <w:tcPr>
            <w:tcW w:w="1900" w:type="dxa"/>
            <w:tcBorders>
              <w:top w:val="nil"/>
              <w:left w:val="nil"/>
              <w:bottom w:val="nil"/>
              <w:right w:val="single" w:sz="4" w:space="0" w:color="auto"/>
            </w:tcBorders>
            <w:shd w:val="clear" w:color="000000" w:fill="FFFFFF"/>
            <w:noWrap/>
            <w:vAlign w:val="bottom"/>
            <w:hideMark/>
          </w:tcPr>
          <w:p w14:paraId="6050E571" w14:textId="3124B1CF" w:rsidR="007F31E4" w:rsidRPr="007F31E4" w:rsidRDefault="007F31E4" w:rsidP="007F31E4">
            <w:pPr>
              <w:spacing w:after="0" w:line="240" w:lineRule="auto"/>
              <w:jc w:val="right"/>
              <w:rPr>
                <w:rFonts w:eastAsia="Times New Roman" w:cs="Arial"/>
                <w:sz w:val="24"/>
                <w:szCs w:val="24"/>
              </w:rPr>
            </w:pPr>
            <w:r w:rsidRPr="007F31E4">
              <w:rPr>
                <w:rFonts w:eastAsia="Times New Roman" w:cs="Arial"/>
                <w:sz w:val="24"/>
                <w:szCs w:val="24"/>
              </w:rPr>
              <w:t>$</w:t>
            </w:r>
            <w:r w:rsidR="00183B0D">
              <w:rPr>
                <w:rFonts w:eastAsia="Times New Roman" w:cs="Arial"/>
                <w:sz w:val="24"/>
                <w:szCs w:val="24"/>
              </w:rPr>
              <w:t>935</w:t>
            </w:r>
            <w:r w:rsidRPr="007F31E4">
              <w:rPr>
                <w:rFonts w:eastAsia="Times New Roman" w:cs="Arial"/>
                <w:sz w:val="24"/>
                <w:szCs w:val="24"/>
              </w:rPr>
              <w:t>,</w:t>
            </w:r>
            <w:r w:rsidR="00183B0D">
              <w:rPr>
                <w:rFonts w:eastAsia="Times New Roman" w:cs="Arial"/>
                <w:sz w:val="24"/>
                <w:szCs w:val="24"/>
              </w:rPr>
              <w:t>9</w:t>
            </w:r>
            <w:r w:rsidRPr="007F31E4">
              <w:rPr>
                <w:rFonts w:eastAsia="Times New Roman" w:cs="Arial"/>
                <w:sz w:val="24"/>
                <w:szCs w:val="24"/>
              </w:rPr>
              <w:t>3</w:t>
            </w:r>
            <w:r w:rsidR="00183B0D">
              <w:rPr>
                <w:rFonts w:eastAsia="Times New Roman" w:cs="Arial"/>
                <w:sz w:val="24"/>
                <w:szCs w:val="24"/>
              </w:rPr>
              <w:t>9,929</w:t>
            </w:r>
            <w:r w:rsidR="002D0918">
              <w:rPr>
                <w:rFonts w:eastAsia="Times New Roman" w:cs="Arial"/>
                <w:sz w:val="24"/>
                <w:szCs w:val="24"/>
              </w:rPr>
              <w:t>*</w:t>
            </w:r>
            <w:r w:rsidRPr="007F31E4">
              <w:rPr>
                <w:rFonts w:eastAsia="Times New Roman" w:cs="Arial"/>
                <w:sz w:val="24"/>
                <w:szCs w:val="24"/>
              </w:rPr>
              <w:t xml:space="preserve"> </w:t>
            </w:r>
          </w:p>
        </w:tc>
      </w:tr>
      <w:tr w:rsidR="007F31E4" w:rsidRPr="007F31E4" w14:paraId="2473CDC5" w14:textId="77777777" w:rsidTr="007F31E4">
        <w:trPr>
          <w:trHeight w:val="315"/>
        </w:trPr>
        <w:tc>
          <w:tcPr>
            <w:tcW w:w="357" w:type="dxa"/>
            <w:tcBorders>
              <w:top w:val="nil"/>
              <w:left w:val="single" w:sz="4" w:space="0" w:color="auto"/>
              <w:bottom w:val="single" w:sz="4" w:space="0" w:color="auto"/>
              <w:right w:val="nil"/>
            </w:tcBorders>
            <w:shd w:val="clear" w:color="000000" w:fill="FFFFFF"/>
            <w:noWrap/>
            <w:vAlign w:val="bottom"/>
            <w:hideMark/>
          </w:tcPr>
          <w:p w14:paraId="16FA3256" w14:textId="77777777" w:rsidR="007F31E4" w:rsidRPr="007F31E4" w:rsidRDefault="007F31E4" w:rsidP="007F31E4">
            <w:pPr>
              <w:spacing w:after="0" w:line="240" w:lineRule="auto"/>
              <w:rPr>
                <w:rFonts w:ascii="Arial" w:eastAsia="Times New Roman" w:hAnsi="Arial" w:cs="Arial"/>
                <w:b/>
                <w:bCs/>
                <w:sz w:val="24"/>
                <w:szCs w:val="24"/>
              </w:rPr>
            </w:pPr>
            <w:r w:rsidRPr="007F31E4">
              <w:rPr>
                <w:rFonts w:ascii="Arial" w:eastAsia="Times New Roman" w:hAnsi="Arial" w:cs="Arial"/>
                <w:b/>
                <w:bCs/>
                <w:sz w:val="24"/>
                <w:szCs w:val="24"/>
              </w:rPr>
              <w:t>=</w:t>
            </w:r>
          </w:p>
        </w:tc>
        <w:tc>
          <w:tcPr>
            <w:tcW w:w="5960" w:type="dxa"/>
            <w:tcBorders>
              <w:top w:val="nil"/>
              <w:left w:val="nil"/>
              <w:bottom w:val="single" w:sz="4" w:space="0" w:color="auto"/>
              <w:right w:val="nil"/>
            </w:tcBorders>
            <w:shd w:val="clear" w:color="000000" w:fill="FFFFFF"/>
            <w:noWrap/>
            <w:vAlign w:val="bottom"/>
            <w:hideMark/>
          </w:tcPr>
          <w:p w14:paraId="1769C48B" w14:textId="77777777" w:rsidR="007F31E4" w:rsidRPr="007F31E4" w:rsidRDefault="007F31E4" w:rsidP="007F31E4">
            <w:pPr>
              <w:spacing w:after="0" w:line="240" w:lineRule="auto"/>
              <w:rPr>
                <w:rFonts w:eastAsia="Times New Roman" w:cs="Arial"/>
                <w:sz w:val="24"/>
                <w:szCs w:val="24"/>
              </w:rPr>
            </w:pPr>
            <w:r w:rsidRPr="007F31E4">
              <w:rPr>
                <w:rFonts w:eastAsia="Times New Roman" w:cs="Arial"/>
                <w:sz w:val="24"/>
                <w:szCs w:val="24"/>
              </w:rPr>
              <w:t>Local Nickel Revenue</w:t>
            </w:r>
          </w:p>
        </w:tc>
        <w:tc>
          <w:tcPr>
            <w:tcW w:w="1900" w:type="dxa"/>
            <w:tcBorders>
              <w:top w:val="nil"/>
              <w:left w:val="nil"/>
              <w:bottom w:val="single" w:sz="4" w:space="0" w:color="auto"/>
              <w:right w:val="single" w:sz="4" w:space="0" w:color="auto"/>
            </w:tcBorders>
            <w:shd w:val="clear" w:color="000000" w:fill="FFFFFF"/>
            <w:noWrap/>
            <w:vAlign w:val="bottom"/>
            <w:hideMark/>
          </w:tcPr>
          <w:p w14:paraId="4FA5BDEB" w14:textId="3FC747CA" w:rsidR="007F31E4" w:rsidRPr="007F31E4" w:rsidRDefault="007F31E4" w:rsidP="007F31E4">
            <w:pPr>
              <w:spacing w:after="0" w:line="240" w:lineRule="auto"/>
              <w:jc w:val="right"/>
              <w:rPr>
                <w:rFonts w:eastAsia="Times New Roman" w:cs="Arial"/>
                <w:sz w:val="24"/>
                <w:szCs w:val="24"/>
              </w:rPr>
            </w:pPr>
            <w:r w:rsidRPr="007F31E4">
              <w:rPr>
                <w:rFonts w:eastAsia="Times New Roman" w:cs="Arial"/>
                <w:sz w:val="24"/>
                <w:szCs w:val="24"/>
              </w:rPr>
              <w:t>$4</w:t>
            </w:r>
            <w:r w:rsidR="00183B0D">
              <w:rPr>
                <w:rFonts w:eastAsia="Times New Roman" w:cs="Arial"/>
                <w:sz w:val="24"/>
                <w:szCs w:val="24"/>
              </w:rPr>
              <w:t>67</w:t>
            </w:r>
            <w:r w:rsidRPr="007F31E4">
              <w:rPr>
                <w:rFonts w:eastAsia="Times New Roman" w:cs="Arial"/>
                <w:sz w:val="24"/>
                <w:szCs w:val="24"/>
              </w:rPr>
              <w:t>,</w:t>
            </w:r>
            <w:r w:rsidR="00183B0D">
              <w:rPr>
                <w:rFonts w:eastAsia="Times New Roman" w:cs="Arial"/>
                <w:sz w:val="24"/>
                <w:szCs w:val="24"/>
              </w:rPr>
              <w:t>970</w:t>
            </w:r>
            <w:r w:rsidRPr="007F31E4">
              <w:rPr>
                <w:rFonts w:eastAsia="Times New Roman" w:cs="Arial"/>
                <w:sz w:val="24"/>
                <w:szCs w:val="24"/>
              </w:rPr>
              <w:t xml:space="preserve"> </w:t>
            </w:r>
            <w:r w:rsidR="002D0918">
              <w:rPr>
                <w:rFonts w:eastAsia="Times New Roman" w:cs="Arial"/>
                <w:sz w:val="24"/>
                <w:szCs w:val="24"/>
              </w:rPr>
              <w:t>*</w:t>
            </w:r>
          </w:p>
        </w:tc>
      </w:tr>
      <w:tr w:rsidR="007F31E4" w:rsidRPr="007F31E4" w14:paraId="04A1FFD6" w14:textId="77777777" w:rsidTr="007F31E4">
        <w:trPr>
          <w:trHeight w:val="330"/>
        </w:trPr>
        <w:tc>
          <w:tcPr>
            <w:tcW w:w="357" w:type="dxa"/>
            <w:tcBorders>
              <w:top w:val="nil"/>
              <w:left w:val="nil"/>
              <w:bottom w:val="nil"/>
              <w:right w:val="nil"/>
            </w:tcBorders>
            <w:shd w:val="clear" w:color="auto" w:fill="auto"/>
            <w:noWrap/>
            <w:vAlign w:val="bottom"/>
            <w:hideMark/>
          </w:tcPr>
          <w:p w14:paraId="09A9B98A" w14:textId="77777777" w:rsidR="007F31E4" w:rsidRPr="007F31E4" w:rsidRDefault="007F31E4" w:rsidP="007F31E4">
            <w:pPr>
              <w:spacing w:after="0" w:line="240" w:lineRule="auto"/>
              <w:rPr>
                <w:rFonts w:ascii="Arial" w:eastAsia="Times New Roman" w:hAnsi="Arial" w:cs="Arial"/>
                <w:b/>
                <w:bCs/>
                <w:sz w:val="24"/>
                <w:szCs w:val="24"/>
              </w:rPr>
            </w:pPr>
          </w:p>
        </w:tc>
        <w:tc>
          <w:tcPr>
            <w:tcW w:w="5960" w:type="dxa"/>
            <w:tcBorders>
              <w:top w:val="nil"/>
              <w:left w:val="nil"/>
              <w:bottom w:val="nil"/>
              <w:right w:val="nil"/>
            </w:tcBorders>
            <w:shd w:val="clear" w:color="auto" w:fill="auto"/>
            <w:noWrap/>
            <w:vAlign w:val="bottom"/>
            <w:hideMark/>
          </w:tcPr>
          <w:p w14:paraId="4F3F94BC" w14:textId="77777777" w:rsidR="007F31E4" w:rsidRDefault="007F31E4" w:rsidP="007F31E4">
            <w:pPr>
              <w:spacing w:after="0" w:line="240" w:lineRule="auto"/>
              <w:rPr>
                <w:rFonts w:eastAsia="Times New Roman" w:cs="Arial"/>
                <w:sz w:val="24"/>
                <w:szCs w:val="24"/>
              </w:rPr>
            </w:pPr>
          </w:p>
          <w:p w14:paraId="5539D393" w14:textId="77777777" w:rsidR="00C1772B" w:rsidRDefault="00C1772B" w:rsidP="007F31E4">
            <w:pPr>
              <w:spacing w:after="0" w:line="240" w:lineRule="auto"/>
              <w:rPr>
                <w:rFonts w:eastAsia="Times New Roman" w:cs="Arial"/>
                <w:sz w:val="24"/>
                <w:szCs w:val="24"/>
              </w:rPr>
            </w:pPr>
          </w:p>
          <w:p w14:paraId="2676A218" w14:textId="77777777" w:rsidR="002D0918" w:rsidRPr="007F31E4" w:rsidRDefault="002D0918" w:rsidP="007F31E4">
            <w:pPr>
              <w:spacing w:after="0" w:line="240" w:lineRule="auto"/>
              <w:rPr>
                <w:rFonts w:eastAsia="Times New Roman" w:cs="Arial"/>
                <w:sz w:val="24"/>
                <w:szCs w:val="24"/>
              </w:rPr>
            </w:pPr>
          </w:p>
        </w:tc>
        <w:tc>
          <w:tcPr>
            <w:tcW w:w="1900" w:type="dxa"/>
            <w:tcBorders>
              <w:top w:val="nil"/>
              <w:left w:val="nil"/>
              <w:bottom w:val="nil"/>
              <w:right w:val="nil"/>
            </w:tcBorders>
            <w:shd w:val="clear" w:color="auto" w:fill="auto"/>
            <w:noWrap/>
            <w:vAlign w:val="bottom"/>
            <w:hideMark/>
          </w:tcPr>
          <w:p w14:paraId="30353794" w14:textId="77777777" w:rsidR="007F31E4" w:rsidRPr="007F31E4" w:rsidRDefault="007F31E4" w:rsidP="007F31E4">
            <w:pPr>
              <w:spacing w:after="0" w:line="240" w:lineRule="auto"/>
              <w:jc w:val="right"/>
              <w:rPr>
                <w:rFonts w:eastAsia="Times New Roman" w:cs="Arial"/>
                <w:sz w:val="24"/>
                <w:szCs w:val="24"/>
              </w:rPr>
            </w:pPr>
          </w:p>
        </w:tc>
      </w:tr>
      <w:tr w:rsidR="007F31E4" w:rsidRPr="007F31E4" w14:paraId="6F19C91F" w14:textId="77777777" w:rsidTr="007F31E4">
        <w:trPr>
          <w:trHeight w:val="315"/>
        </w:trPr>
        <w:tc>
          <w:tcPr>
            <w:tcW w:w="357" w:type="dxa"/>
            <w:tcBorders>
              <w:top w:val="single" w:sz="8" w:space="0" w:color="auto"/>
              <w:left w:val="single" w:sz="8" w:space="0" w:color="auto"/>
              <w:bottom w:val="nil"/>
              <w:right w:val="nil"/>
            </w:tcBorders>
            <w:shd w:val="clear" w:color="000000" w:fill="FFFF00"/>
            <w:noWrap/>
            <w:vAlign w:val="bottom"/>
            <w:hideMark/>
          </w:tcPr>
          <w:p w14:paraId="55E06AC4" w14:textId="77777777" w:rsidR="007F31E4" w:rsidRPr="007F31E4" w:rsidRDefault="007F31E4" w:rsidP="007F31E4">
            <w:pPr>
              <w:spacing w:after="0" w:line="240" w:lineRule="auto"/>
              <w:rPr>
                <w:rFonts w:ascii="Arial" w:eastAsia="Times New Roman" w:hAnsi="Arial" w:cs="Arial"/>
                <w:b/>
                <w:bCs/>
                <w:sz w:val="24"/>
                <w:szCs w:val="24"/>
              </w:rPr>
            </w:pPr>
            <w:r w:rsidRPr="007F31E4">
              <w:rPr>
                <w:rFonts w:ascii="Arial" w:eastAsia="Times New Roman" w:hAnsi="Arial" w:cs="Arial"/>
                <w:b/>
                <w:bCs/>
                <w:sz w:val="24"/>
                <w:szCs w:val="24"/>
              </w:rPr>
              <w:t> </w:t>
            </w:r>
          </w:p>
        </w:tc>
        <w:tc>
          <w:tcPr>
            <w:tcW w:w="7860" w:type="dxa"/>
            <w:gridSpan w:val="2"/>
            <w:tcBorders>
              <w:top w:val="single" w:sz="8" w:space="0" w:color="auto"/>
              <w:left w:val="nil"/>
              <w:bottom w:val="nil"/>
              <w:right w:val="single" w:sz="8" w:space="0" w:color="000000"/>
            </w:tcBorders>
            <w:shd w:val="clear" w:color="000000" w:fill="FFFF00"/>
            <w:noWrap/>
            <w:vAlign w:val="bottom"/>
            <w:hideMark/>
          </w:tcPr>
          <w:p w14:paraId="1D6CB99F" w14:textId="77777777" w:rsidR="007F31E4" w:rsidRPr="007F31E4" w:rsidRDefault="007F31E4" w:rsidP="007F31E4">
            <w:pPr>
              <w:spacing w:after="0" w:line="240" w:lineRule="auto"/>
              <w:jc w:val="center"/>
              <w:rPr>
                <w:rFonts w:eastAsia="Times New Roman" w:cs="Arial"/>
                <w:b/>
                <w:bCs/>
                <w:sz w:val="24"/>
                <w:szCs w:val="24"/>
              </w:rPr>
            </w:pPr>
            <w:r w:rsidRPr="007F31E4">
              <w:rPr>
                <w:rFonts w:eastAsia="Times New Roman" w:cs="Arial"/>
                <w:b/>
                <w:bCs/>
                <w:sz w:val="24"/>
                <w:szCs w:val="24"/>
              </w:rPr>
              <w:t>State Nickel Equalization</w:t>
            </w:r>
          </w:p>
        </w:tc>
      </w:tr>
      <w:tr w:rsidR="007F31E4" w:rsidRPr="007F31E4" w14:paraId="5DD10EBF" w14:textId="77777777" w:rsidTr="007F31E4">
        <w:trPr>
          <w:trHeight w:val="315"/>
        </w:trPr>
        <w:tc>
          <w:tcPr>
            <w:tcW w:w="357" w:type="dxa"/>
            <w:tcBorders>
              <w:top w:val="single" w:sz="4" w:space="0" w:color="auto"/>
              <w:left w:val="single" w:sz="4" w:space="0" w:color="auto"/>
              <w:bottom w:val="nil"/>
              <w:right w:val="nil"/>
            </w:tcBorders>
            <w:shd w:val="clear" w:color="auto" w:fill="auto"/>
            <w:noWrap/>
            <w:vAlign w:val="bottom"/>
            <w:hideMark/>
          </w:tcPr>
          <w:p w14:paraId="4B45AB96" w14:textId="77777777" w:rsidR="007F31E4" w:rsidRPr="007F31E4" w:rsidRDefault="007F31E4" w:rsidP="007F31E4">
            <w:pPr>
              <w:spacing w:after="0" w:line="240" w:lineRule="auto"/>
              <w:rPr>
                <w:rFonts w:ascii="Arial" w:eastAsia="Times New Roman" w:hAnsi="Arial" w:cs="Arial"/>
                <w:b/>
                <w:bCs/>
                <w:sz w:val="24"/>
                <w:szCs w:val="24"/>
              </w:rPr>
            </w:pPr>
            <w:r w:rsidRPr="007F31E4">
              <w:rPr>
                <w:rFonts w:ascii="Arial" w:eastAsia="Times New Roman" w:hAnsi="Arial" w:cs="Arial"/>
                <w:b/>
                <w:bCs/>
                <w:sz w:val="24"/>
                <w:szCs w:val="24"/>
              </w:rPr>
              <w:t> </w:t>
            </w:r>
          </w:p>
        </w:tc>
        <w:tc>
          <w:tcPr>
            <w:tcW w:w="5960" w:type="dxa"/>
            <w:tcBorders>
              <w:top w:val="single" w:sz="4" w:space="0" w:color="auto"/>
              <w:left w:val="nil"/>
              <w:bottom w:val="nil"/>
              <w:right w:val="nil"/>
            </w:tcBorders>
            <w:shd w:val="clear" w:color="000000" w:fill="FFFFFF"/>
            <w:noWrap/>
            <w:vAlign w:val="bottom"/>
            <w:hideMark/>
          </w:tcPr>
          <w:p w14:paraId="4AD4871D" w14:textId="77777777" w:rsidR="007F31E4" w:rsidRPr="007F31E4" w:rsidRDefault="007F31E4" w:rsidP="007F31E4">
            <w:pPr>
              <w:spacing w:after="0" w:line="240" w:lineRule="auto"/>
              <w:rPr>
                <w:rFonts w:eastAsia="Times New Roman" w:cs="Arial"/>
                <w:sz w:val="24"/>
                <w:szCs w:val="24"/>
              </w:rPr>
            </w:pPr>
            <w:r w:rsidRPr="007F31E4">
              <w:rPr>
                <w:rFonts w:eastAsia="Times New Roman" w:cs="Arial"/>
                <w:sz w:val="24"/>
                <w:szCs w:val="24"/>
              </w:rPr>
              <w:t>Total Nickel Revenue</w:t>
            </w:r>
          </w:p>
        </w:tc>
        <w:tc>
          <w:tcPr>
            <w:tcW w:w="1900" w:type="dxa"/>
            <w:tcBorders>
              <w:top w:val="single" w:sz="4" w:space="0" w:color="auto"/>
              <w:left w:val="nil"/>
              <w:bottom w:val="nil"/>
              <w:right w:val="single" w:sz="4" w:space="0" w:color="auto"/>
            </w:tcBorders>
            <w:shd w:val="clear" w:color="000000" w:fill="FFFFFF"/>
            <w:noWrap/>
            <w:vAlign w:val="bottom"/>
            <w:hideMark/>
          </w:tcPr>
          <w:p w14:paraId="56503368" w14:textId="3548CBD1" w:rsidR="007F31E4" w:rsidRPr="007F31E4" w:rsidRDefault="007F31E4" w:rsidP="007F31E4">
            <w:pPr>
              <w:spacing w:after="0" w:line="240" w:lineRule="auto"/>
              <w:jc w:val="right"/>
              <w:rPr>
                <w:rFonts w:eastAsia="Times New Roman" w:cs="Arial"/>
                <w:sz w:val="24"/>
                <w:szCs w:val="24"/>
              </w:rPr>
            </w:pPr>
            <w:r w:rsidRPr="007F31E4">
              <w:rPr>
                <w:rFonts w:eastAsia="Times New Roman" w:cs="Arial"/>
                <w:sz w:val="24"/>
                <w:szCs w:val="24"/>
              </w:rPr>
              <w:t>$</w:t>
            </w:r>
            <w:r w:rsidR="006663B5">
              <w:rPr>
                <w:rFonts w:eastAsia="Times New Roman" w:cs="Arial"/>
                <w:sz w:val="24"/>
                <w:szCs w:val="24"/>
              </w:rPr>
              <w:t>1</w:t>
            </w:r>
            <w:r w:rsidR="00B90FFF">
              <w:rPr>
                <w:rFonts w:eastAsia="Times New Roman" w:cs="Arial"/>
                <w:sz w:val="24"/>
                <w:szCs w:val="24"/>
              </w:rPr>
              <w:t>,</w:t>
            </w:r>
            <w:r w:rsidR="00442E6F">
              <w:rPr>
                <w:rFonts w:eastAsia="Times New Roman" w:cs="Arial"/>
                <w:sz w:val="24"/>
                <w:szCs w:val="24"/>
              </w:rPr>
              <w:t>2</w:t>
            </w:r>
            <w:r w:rsidR="00B4769D">
              <w:rPr>
                <w:rFonts w:eastAsia="Times New Roman" w:cs="Arial"/>
                <w:sz w:val="24"/>
                <w:szCs w:val="24"/>
              </w:rPr>
              <w:t>3</w:t>
            </w:r>
            <w:r w:rsidR="00442E6F">
              <w:rPr>
                <w:rFonts w:eastAsia="Times New Roman" w:cs="Arial"/>
                <w:sz w:val="24"/>
                <w:szCs w:val="24"/>
              </w:rPr>
              <w:t>6</w:t>
            </w:r>
            <w:r w:rsidR="006663B5">
              <w:rPr>
                <w:rFonts w:eastAsia="Times New Roman" w:cs="Arial"/>
                <w:sz w:val="24"/>
                <w:szCs w:val="24"/>
              </w:rPr>
              <w:t>,</w:t>
            </w:r>
            <w:r w:rsidR="00442E6F">
              <w:rPr>
                <w:rFonts w:eastAsia="Times New Roman" w:cs="Arial"/>
                <w:sz w:val="24"/>
                <w:szCs w:val="24"/>
              </w:rPr>
              <w:t>41</w:t>
            </w:r>
            <w:r w:rsidR="00B4769D">
              <w:rPr>
                <w:rFonts w:eastAsia="Times New Roman" w:cs="Arial"/>
                <w:sz w:val="24"/>
                <w:szCs w:val="24"/>
              </w:rPr>
              <w:t>7</w:t>
            </w:r>
            <w:r w:rsidR="002D0918">
              <w:rPr>
                <w:rFonts w:eastAsia="Times New Roman" w:cs="Arial"/>
                <w:sz w:val="24"/>
                <w:szCs w:val="24"/>
              </w:rPr>
              <w:t>*</w:t>
            </w:r>
            <w:r w:rsidRPr="007F31E4">
              <w:rPr>
                <w:rFonts w:eastAsia="Times New Roman" w:cs="Arial"/>
                <w:sz w:val="24"/>
                <w:szCs w:val="24"/>
              </w:rPr>
              <w:t xml:space="preserve"> </w:t>
            </w:r>
          </w:p>
        </w:tc>
      </w:tr>
      <w:tr w:rsidR="007F31E4" w:rsidRPr="007F31E4" w14:paraId="2CD68453" w14:textId="77777777" w:rsidTr="007F31E4">
        <w:trPr>
          <w:trHeight w:val="315"/>
        </w:trPr>
        <w:tc>
          <w:tcPr>
            <w:tcW w:w="357" w:type="dxa"/>
            <w:tcBorders>
              <w:top w:val="nil"/>
              <w:left w:val="single" w:sz="4" w:space="0" w:color="auto"/>
              <w:bottom w:val="nil"/>
              <w:right w:val="nil"/>
            </w:tcBorders>
            <w:shd w:val="clear" w:color="auto" w:fill="auto"/>
            <w:noWrap/>
            <w:vAlign w:val="bottom"/>
            <w:hideMark/>
          </w:tcPr>
          <w:p w14:paraId="382F99CB" w14:textId="77777777" w:rsidR="007F31E4" w:rsidRPr="007F31E4" w:rsidRDefault="007F31E4" w:rsidP="007F31E4">
            <w:pPr>
              <w:spacing w:after="0" w:line="240" w:lineRule="auto"/>
              <w:rPr>
                <w:rFonts w:ascii="Arial" w:eastAsia="Times New Roman" w:hAnsi="Arial" w:cs="Arial"/>
                <w:b/>
                <w:bCs/>
                <w:sz w:val="24"/>
                <w:szCs w:val="24"/>
              </w:rPr>
            </w:pPr>
            <w:r w:rsidRPr="007F31E4">
              <w:rPr>
                <w:rFonts w:ascii="Arial" w:eastAsia="Times New Roman" w:hAnsi="Arial" w:cs="Arial"/>
                <w:b/>
                <w:bCs/>
                <w:sz w:val="24"/>
                <w:szCs w:val="24"/>
              </w:rPr>
              <w:t>-</w:t>
            </w:r>
          </w:p>
        </w:tc>
        <w:tc>
          <w:tcPr>
            <w:tcW w:w="5960" w:type="dxa"/>
            <w:tcBorders>
              <w:top w:val="nil"/>
              <w:left w:val="nil"/>
              <w:bottom w:val="nil"/>
              <w:right w:val="nil"/>
            </w:tcBorders>
            <w:shd w:val="clear" w:color="000000" w:fill="FFFFFF"/>
            <w:noWrap/>
            <w:vAlign w:val="bottom"/>
            <w:hideMark/>
          </w:tcPr>
          <w:p w14:paraId="152BC383" w14:textId="77777777" w:rsidR="007F31E4" w:rsidRPr="007F31E4" w:rsidRDefault="007F31E4" w:rsidP="007F31E4">
            <w:pPr>
              <w:spacing w:after="0" w:line="240" w:lineRule="auto"/>
              <w:rPr>
                <w:rFonts w:eastAsia="Times New Roman" w:cs="Arial"/>
                <w:sz w:val="24"/>
                <w:szCs w:val="24"/>
              </w:rPr>
            </w:pPr>
            <w:r w:rsidRPr="007F31E4">
              <w:rPr>
                <w:rFonts w:eastAsia="Times New Roman" w:cs="Arial"/>
                <w:sz w:val="24"/>
                <w:szCs w:val="24"/>
              </w:rPr>
              <w:t>Local Nickel Revenue</w:t>
            </w:r>
          </w:p>
        </w:tc>
        <w:tc>
          <w:tcPr>
            <w:tcW w:w="1900" w:type="dxa"/>
            <w:tcBorders>
              <w:top w:val="nil"/>
              <w:left w:val="nil"/>
              <w:bottom w:val="nil"/>
              <w:right w:val="single" w:sz="4" w:space="0" w:color="auto"/>
            </w:tcBorders>
            <w:shd w:val="clear" w:color="000000" w:fill="FFFFFF"/>
            <w:noWrap/>
            <w:vAlign w:val="bottom"/>
            <w:hideMark/>
          </w:tcPr>
          <w:p w14:paraId="4AF825FF" w14:textId="7AAE7EBA" w:rsidR="007F31E4" w:rsidRPr="007F31E4" w:rsidRDefault="007F31E4" w:rsidP="007F31E4">
            <w:pPr>
              <w:spacing w:after="0" w:line="240" w:lineRule="auto"/>
              <w:jc w:val="right"/>
              <w:rPr>
                <w:rFonts w:eastAsia="Times New Roman" w:cs="Arial"/>
                <w:sz w:val="24"/>
                <w:szCs w:val="24"/>
              </w:rPr>
            </w:pPr>
            <w:r w:rsidRPr="007F31E4">
              <w:rPr>
                <w:rFonts w:eastAsia="Times New Roman" w:cs="Arial"/>
                <w:sz w:val="24"/>
                <w:szCs w:val="24"/>
              </w:rPr>
              <w:t>$</w:t>
            </w:r>
            <w:r w:rsidR="00B4769D">
              <w:rPr>
                <w:rFonts w:eastAsia="Times New Roman" w:cs="Arial"/>
                <w:sz w:val="24"/>
                <w:szCs w:val="24"/>
              </w:rPr>
              <w:t>467</w:t>
            </w:r>
            <w:r w:rsidRPr="007F31E4">
              <w:rPr>
                <w:rFonts w:eastAsia="Times New Roman" w:cs="Arial"/>
                <w:sz w:val="24"/>
                <w:szCs w:val="24"/>
              </w:rPr>
              <w:t>,</w:t>
            </w:r>
            <w:r w:rsidR="00B4769D">
              <w:rPr>
                <w:rFonts w:eastAsia="Times New Roman" w:cs="Arial"/>
                <w:sz w:val="24"/>
                <w:szCs w:val="24"/>
              </w:rPr>
              <w:t>970</w:t>
            </w:r>
            <w:r w:rsidR="002D0918">
              <w:rPr>
                <w:rFonts w:eastAsia="Times New Roman" w:cs="Arial"/>
                <w:sz w:val="24"/>
                <w:szCs w:val="24"/>
              </w:rPr>
              <w:t>*</w:t>
            </w:r>
            <w:r w:rsidRPr="007F31E4">
              <w:rPr>
                <w:rFonts w:eastAsia="Times New Roman" w:cs="Arial"/>
                <w:sz w:val="24"/>
                <w:szCs w:val="24"/>
              </w:rPr>
              <w:t xml:space="preserve"> </w:t>
            </w:r>
          </w:p>
        </w:tc>
      </w:tr>
      <w:tr w:rsidR="007F31E4" w:rsidRPr="007F31E4" w14:paraId="61AC1152" w14:textId="77777777" w:rsidTr="007F31E4">
        <w:trPr>
          <w:trHeight w:val="315"/>
        </w:trPr>
        <w:tc>
          <w:tcPr>
            <w:tcW w:w="357" w:type="dxa"/>
            <w:tcBorders>
              <w:top w:val="nil"/>
              <w:left w:val="single" w:sz="4" w:space="0" w:color="auto"/>
              <w:bottom w:val="single" w:sz="4" w:space="0" w:color="auto"/>
              <w:right w:val="nil"/>
            </w:tcBorders>
            <w:shd w:val="clear" w:color="auto" w:fill="auto"/>
            <w:noWrap/>
            <w:vAlign w:val="bottom"/>
            <w:hideMark/>
          </w:tcPr>
          <w:p w14:paraId="3C9F3214" w14:textId="77777777" w:rsidR="007F31E4" w:rsidRPr="007F31E4" w:rsidRDefault="007F31E4" w:rsidP="007F31E4">
            <w:pPr>
              <w:spacing w:after="0" w:line="240" w:lineRule="auto"/>
              <w:rPr>
                <w:rFonts w:ascii="Arial" w:eastAsia="Times New Roman" w:hAnsi="Arial" w:cs="Arial"/>
                <w:b/>
                <w:bCs/>
                <w:sz w:val="24"/>
                <w:szCs w:val="24"/>
              </w:rPr>
            </w:pPr>
            <w:r w:rsidRPr="007F31E4">
              <w:rPr>
                <w:rFonts w:ascii="Arial" w:eastAsia="Times New Roman" w:hAnsi="Arial" w:cs="Arial"/>
                <w:b/>
                <w:bCs/>
                <w:sz w:val="24"/>
                <w:szCs w:val="24"/>
              </w:rPr>
              <w:t>=</w:t>
            </w:r>
          </w:p>
        </w:tc>
        <w:tc>
          <w:tcPr>
            <w:tcW w:w="5960" w:type="dxa"/>
            <w:tcBorders>
              <w:top w:val="nil"/>
              <w:left w:val="nil"/>
              <w:bottom w:val="single" w:sz="4" w:space="0" w:color="auto"/>
              <w:right w:val="nil"/>
            </w:tcBorders>
            <w:shd w:val="clear" w:color="000000" w:fill="FFFFFF"/>
            <w:noWrap/>
            <w:vAlign w:val="bottom"/>
            <w:hideMark/>
          </w:tcPr>
          <w:p w14:paraId="4250FF82" w14:textId="16F0AA29" w:rsidR="007F31E4" w:rsidRPr="007F31E4" w:rsidRDefault="007F31E4" w:rsidP="007F31E4">
            <w:pPr>
              <w:spacing w:after="0" w:line="240" w:lineRule="auto"/>
              <w:rPr>
                <w:rFonts w:eastAsia="Times New Roman" w:cs="Arial"/>
                <w:sz w:val="24"/>
                <w:szCs w:val="24"/>
              </w:rPr>
            </w:pPr>
            <w:r w:rsidRPr="007F31E4">
              <w:rPr>
                <w:rFonts w:eastAsia="Times New Roman" w:cs="Arial"/>
                <w:sz w:val="24"/>
                <w:szCs w:val="24"/>
              </w:rPr>
              <w:t>State Nickel Equalization</w:t>
            </w:r>
            <w:r w:rsidR="004C5FB0">
              <w:rPr>
                <w:rFonts w:eastAsia="Times New Roman" w:cs="Arial"/>
                <w:sz w:val="24"/>
                <w:szCs w:val="24"/>
              </w:rPr>
              <w:t xml:space="preserve"> Match</w:t>
            </w:r>
          </w:p>
        </w:tc>
        <w:tc>
          <w:tcPr>
            <w:tcW w:w="1900" w:type="dxa"/>
            <w:tcBorders>
              <w:top w:val="nil"/>
              <w:left w:val="nil"/>
              <w:bottom w:val="single" w:sz="4" w:space="0" w:color="auto"/>
              <w:right w:val="single" w:sz="4" w:space="0" w:color="auto"/>
            </w:tcBorders>
            <w:shd w:val="clear" w:color="000000" w:fill="FFFFFF"/>
            <w:noWrap/>
            <w:vAlign w:val="bottom"/>
            <w:hideMark/>
          </w:tcPr>
          <w:p w14:paraId="3866FAB0" w14:textId="1B53CED6" w:rsidR="007F31E4" w:rsidRPr="007F31E4" w:rsidRDefault="007F31E4" w:rsidP="007F31E4">
            <w:pPr>
              <w:spacing w:after="0" w:line="240" w:lineRule="auto"/>
              <w:jc w:val="right"/>
              <w:rPr>
                <w:rFonts w:eastAsia="Times New Roman" w:cs="Arial"/>
                <w:sz w:val="24"/>
                <w:szCs w:val="24"/>
              </w:rPr>
            </w:pPr>
            <w:r w:rsidRPr="007F31E4">
              <w:rPr>
                <w:rFonts w:eastAsia="Times New Roman" w:cs="Arial"/>
                <w:sz w:val="24"/>
                <w:szCs w:val="24"/>
              </w:rPr>
              <w:t>$</w:t>
            </w:r>
            <w:r w:rsidR="00B86C65">
              <w:rPr>
                <w:rFonts w:eastAsia="Times New Roman" w:cs="Arial"/>
                <w:sz w:val="24"/>
                <w:szCs w:val="24"/>
              </w:rPr>
              <w:t>768,447</w:t>
            </w:r>
            <w:r w:rsidR="002D0918">
              <w:rPr>
                <w:rFonts w:eastAsia="Times New Roman" w:cs="Arial"/>
                <w:sz w:val="24"/>
                <w:szCs w:val="24"/>
              </w:rPr>
              <w:t>*</w:t>
            </w:r>
            <w:r w:rsidRPr="007F31E4">
              <w:rPr>
                <w:rFonts w:eastAsia="Times New Roman" w:cs="Arial"/>
                <w:sz w:val="24"/>
                <w:szCs w:val="24"/>
              </w:rPr>
              <w:t xml:space="preserve"> </w:t>
            </w:r>
          </w:p>
        </w:tc>
      </w:tr>
      <w:tr w:rsidR="007F31E4" w:rsidRPr="007F31E4" w14:paraId="45946A1C" w14:textId="77777777" w:rsidTr="007F31E4">
        <w:trPr>
          <w:trHeight w:val="330"/>
        </w:trPr>
        <w:tc>
          <w:tcPr>
            <w:tcW w:w="357" w:type="dxa"/>
            <w:tcBorders>
              <w:top w:val="nil"/>
              <w:left w:val="nil"/>
              <w:bottom w:val="nil"/>
              <w:right w:val="nil"/>
            </w:tcBorders>
            <w:shd w:val="clear" w:color="auto" w:fill="auto"/>
            <w:noWrap/>
            <w:vAlign w:val="bottom"/>
            <w:hideMark/>
          </w:tcPr>
          <w:p w14:paraId="21215966" w14:textId="77777777" w:rsidR="007F31E4" w:rsidRPr="007F31E4" w:rsidRDefault="007F31E4" w:rsidP="007F31E4">
            <w:pPr>
              <w:spacing w:after="0" w:line="240" w:lineRule="auto"/>
              <w:rPr>
                <w:rFonts w:eastAsia="Times New Roman" w:cs="Arial"/>
                <w:sz w:val="24"/>
                <w:szCs w:val="24"/>
              </w:rPr>
            </w:pPr>
          </w:p>
        </w:tc>
        <w:tc>
          <w:tcPr>
            <w:tcW w:w="5960" w:type="dxa"/>
            <w:tcBorders>
              <w:top w:val="nil"/>
              <w:left w:val="nil"/>
              <w:bottom w:val="nil"/>
              <w:right w:val="nil"/>
            </w:tcBorders>
            <w:shd w:val="clear" w:color="auto" w:fill="auto"/>
            <w:noWrap/>
            <w:vAlign w:val="bottom"/>
            <w:hideMark/>
          </w:tcPr>
          <w:p w14:paraId="176F5308" w14:textId="77777777" w:rsidR="007F31E4" w:rsidRDefault="007F31E4" w:rsidP="007F31E4">
            <w:pPr>
              <w:spacing w:after="0" w:line="240" w:lineRule="auto"/>
              <w:rPr>
                <w:rFonts w:eastAsia="Times New Roman" w:cs="Arial"/>
                <w:sz w:val="24"/>
                <w:szCs w:val="24"/>
              </w:rPr>
            </w:pPr>
          </w:p>
          <w:p w14:paraId="24D11D7E" w14:textId="77777777" w:rsidR="002D0918" w:rsidRDefault="002D0918" w:rsidP="007F31E4">
            <w:pPr>
              <w:spacing w:after="0" w:line="240" w:lineRule="auto"/>
              <w:rPr>
                <w:rFonts w:eastAsia="Times New Roman" w:cs="Arial"/>
                <w:sz w:val="24"/>
                <w:szCs w:val="24"/>
              </w:rPr>
            </w:pPr>
          </w:p>
          <w:p w14:paraId="05653E79" w14:textId="77777777" w:rsidR="00C1772B" w:rsidRPr="007F31E4" w:rsidRDefault="00C1772B" w:rsidP="007F31E4">
            <w:pPr>
              <w:spacing w:after="0" w:line="240" w:lineRule="auto"/>
              <w:rPr>
                <w:rFonts w:eastAsia="Times New Roman" w:cs="Arial"/>
                <w:sz w:val="24"/>
                <w:szCs w:val="24"/>
              </w:rPr>
            </w:pPr>
          </w:p>
        </w:tc>
        <w:tc>
          <w:tcPr>
            <w:tcW w:w="1900" w:type="dxa"/>
            <w:tcBorders>
              <w:top w:val="nil"/>
              <w:left w:val="nil"/>
              <w:bottom w:val="nil"/>
              <w:right w:val="nil"/>
            </w:tcBorders>
            <w:shd w:val="clear" w:color="auto" w:fill="auto"/>
            <w:noWrap/>
            <w:vAlign w:val="bottom"/>
            <w:hideMark/>
          </w:tcPr>
          <w:p w14:paraId="181A5751" w14:textId="77777777" w:rsidR="007F31E4" w:rsidRPr="007F31E4" w:rsidRDefault="007F31E4" w:rsidP="007F31E4">
            <w:pPr>
              <w:spacing w:after="0" w:line="240" w:lineRule="auto"/>
              <w:jc w:val="right"/>
              <w:rPr>
                <w:rFonts w:eastAsia="Times New Roman" w:cs="Arial"/>
                <w:sz w:val="24"/>
                <w:szCs w:val="24"/>
              </w:rPr>
            </w:pPr>
          </w:p>
        </w:tc>
      </w:tr>
      <w:tr w:rsidR="007F31E4" w:rsidRPr="007F31E4" w14:paraId="4137819E" w14:textId="77777777" w:rsidTr="007F31E4">
        <w:trPr>
          <w:trHeight w:val="315"/>
        </w:trPr>
        <w:tc>
          <w:tcPr>
            <w:tcW w:w="8217" w:type="dxa"/>
            <w:gridSpan w:val="3"/>
            <w:tcBorders>
              <w:top w:val="single" w:sz="8" w:space="0" w:color="auto"/>
              <w:left w:val="single" w:sz="8" w:space="0" w:color="auto"/>
              <w:bottom w:val="single" w:sz="4" w:space="0" w:color="auto"/>
              <w:right w:val="single" w:sz="8" w:space="0" w:color="000000"/>
            </w:tcBorders>
            <w:shd w:val="clear" w:color="000000" w:fill="FFFF00"/>
            <w:noWrap/>
            <w:vAlign w:val="bottom"/>
            <w:hideMark/>
          </w:tcPr>
          <w:p w14:paraId="69B78A0A" w14:textId="77777777" w:rsidR="007F31E4" w:rsidRPr="007F31E4" w:rsidRDefault="007F31E4" w:rsidP="007F31E4">
            <w:pPr>
              <w:spacing w:after="0" w:line="240" w:lineRule="auto"/>
              <w:jc w:val="center"/>
              <w:rPr>
                <w:rFonts w:eastAsia="Times New Roman" w:cs="Arial"/>
                <w:b/>
                <w:bCs/>
                <w:sz w:val="24"/>
                <w:szCs w:val="24"/>
              </w:rPr>
            </w:pPr>
            <w:r w:rsidRPr="007F31E4">
              <w:rPr>
                <w:rFonts w:eastAsia="Times New Roman" w:cs="Arial"/>
                <w:b/>
                <w:bCs/>
                <w:sz w:val="24"/>
                <w:szCs w:val="24"/>
              </w:rPr>
              <w:t>Nickel Equivalent Equalization</w:t>
            </w:r>
          </w:p>
        </w:tc>
      </w:tr>
      <w:tr w:rsidR="007F31E4" w:rsidRPr="007F31E4" w14:paraId="5472C7BD" w14:textId="77777777" w:rsidTr="007F31E4">
        <w:trPr>
          <w:trHeight w:val="315"/>
        </w:trPr>
        <w:tc>
          <w:tcPr>
            <w:tcW w:w="357" w:type="dxa"/>
            <w:tcBorders>
              <w:top w:val="nil"/>
              <w:left w:val="single" w:sz="4" w:space="0" w:color="auto"/>
              <w:bottom w:val="nil"/>
              <w:right w:val="nil"/>
            </w:tcBorders>
            <w:shd w:val="clear" w:color="000000" w:fill="FFFFFF"/>
            <w:noWrap/>
            <w:vAlign w:val="bottom"/>
            <w:hideMark/>
          </w:tcPr>
          <w:p w14:paraId="09745807" w14:textId="77777777" w:rsidR="007F31E4" w:rsidRPr="007F31E4" w:rsidRDefault="007F31E4" w:rsidP="007F31E4">
            <w:pPr>
              <w:spacing w:after="0" w:line="240" w:lineRule="auto"/>
              <w:rPr>
                <w:rFonts w:ascii="Arial" w:eastAsia="Times New Roman" w:hAnsi="Arial" w:cs="Arial"/>
                <w:b/>
                <w:bCs/>
                <w:sz w:val="24"/>
                <w:szCs w:val="24"/>
              </w:rPr>
            </w:pPr>
            <w:r w:rsidRPr="007F31E4">
              <w:rPr>
                <w:rFonts w:ascii="Arial" w:eastAsia="Times New Roman" w:hAnsi="Arial" w:cs="Arial"/>
                <w:b/>
                <w:bCs/>
                <w:sz w:val="24"/>
                <w:szCs w:val="24"/>
              </w:rPr>
              <w:t> </w:t>
            </w:r>
          </w:p>
        </w:tc>
        <w:tc>
          <w:tcPr>
            <w:tcW w:w="5960" w:type="dxa"/>
            <w:tcBorders>
              <w:top w:val="nil"/>
              <w:left w:val="nil"/>
              <w:bottom w:val="nil"/>
              <w:right w:val="nil"/>
            </w:tcBorders>
            <w:shd w:val="clear" w:color="000000" w:fill="FFFFFF"/>
            <w:noWrap/>
            <w:vAlign w:val="bottom"/>
            <w:hideMark/>
          </w:tcPr>
          <w:p w14:paraId="4F61BEE9" w14:textId="77777777" w:rsidR="007F31E4" w:rsidRPr="007F31E4" w:rsidRDefault="007F31E4" w:rsidP="007F31E4">
            <w:pPr>
              <w:spacing w:after="0" w:line="240" w:lineRule="auto"/>
              <w:rPr>
                <w:rFonts w:eastAsia="Times New Roman" w:cs="Arial"/>
                <w:sz w:val="24"/>
                <w:szCs w:val="24"/>
              </w:rPr>
            </w:pPr>
            <w:r w:rsidRPr="007F31E4">
              <w:rPr>
                <w:rFonts w:eastAsia="Times New Roman" w:cs="Arial"/>
                <w:sz w:val="24"/>
                <w:szCs w:val="24"/>
              </w:rPr>
              <w:t>Nickel Equivalent Levy</w:t>
            </w:r>
          </w:p>
        </w:tc>
        <w:tc>
          <w:tcPr>
            <w:tcW w:w="1900" w:type="dxa"/>
            <w:tcBorders>
              <w:top w:val="nil"/>
              <w:left w:val="nil"/>
              <w:bottom w:val="nil"/>
              <w:right w:val="single" w:sz="4" w:space="0" w:color="auto"/>
            </w:tcBorders>
            <w:shd w:val="clear" w:color="000000" w:fill="FFFFFF"/>
            <w:noWrap/>
            <w:vAlign w:val="bottom"/>
            <w:hideMark/>
          </w:tcPr>
          <w:p w14:paraId="73E5DD96" w14:textId="77777777" w:rsidR="007F31E4" w:rsidRPr="007F31E4" w:rsidRDefault="007F31E4" w:rsidP="007F31E4">
            <w:pPr>
              <w:spacing w:after="0" w:line="240" w:lineRule="auto"/>
              <w:jc w:val="right"/>
              <w:rPr>
                <w:rFonts w:eastAsia="Times New Roman" w:cs="Arial"/>
                <w:sz w:val="24"/>
                <w:szCs w:val="24"/>
              </w:rPr>
            </w:pPr>
            <w:r w:rsidRPr="007F31E4">
              <w:rPr>
                <w:rFonts w:eastAsia="Times New Roman" w:cs="Arial"/>
                <w:sz w:val="24"/>
                <w:szCs w:val="24"/>
              </w:rPr>
              <w:t>0.0005</w:t>
            </w:r>
            <w:r w:rsidR="002D0918">
              <w:rPr>
                <w:rFonts w:eastAsia="Times New Roman" w:cs="Arial"/>
                <w:sz w:val="24"/>
                <w:szCs w:val="24"/>
              </w:rPr>
              <w:t>*</w:t>
            </w:r>
          </w:p>
        </w:tc>
      </w:tr>
      <w:tr w:rsidR="007F31E4" w:rsidRPr="007F31E4" w14:paraId="273C6F26" w14:textId="77777777" w:rsidTr="007F31E4">
        <w:trPr>
          <w:trHeight w:val="315"/>
        </w:trPr>
        <w:tc>
          <w:tcPr>
            <w:tcW w:w="357" w:type="dxa"/>
            <w:tcBorders>
              <w:top w:val="nil"/>
              <w:left w:val="single" w:sz="4" w:space="0" w:color="auto"/>
              <w:bottom w:val="nil"/>
              <w:right w:val="nil"/>
            </w:tcBorders>
            <w:shd w:val="clear" w:color="000000" w:fill="FFFFFF"/>
            <w:noWrap/>
            <w:vAlign w:val="bottom"/>
            <w:hideMark/>
          </w:tcPr>
          <w:p w14:paraId="52658E6D" w14:textId="77777777" w:rsidR="007F31E4" w:rsidRPr="007F31E4" w:rsidRDefault="007F31E4" w:rsidP="007F31E4">
            <w:pPr>
              <w:spacing w:after="0" w:line="240" w:lineRule="auto"/>
              <w:rPr>
                <w:rFonts w:ascii="Arial" w:eastAsia="Times New Roman" w:hAnsi="Arial" w:cs="Arial"/>
                <w:b/>
                <w:bCs/>
                <w:sz w:val="24"/>
                <w:szCs w:val="24"/>
              </w:rPr>
            </w:pPr>
            <w:r w:rsidRPr="007F31E4">
              <w:rPr>
                <w:rFonts w:ascii="Arial" w:eastAsia="Times New Roman" w:hAnsi="Arial" w:cs="Arial"/>
                <w:b/>
                <w:bCs/>
                <w:sz w:val="24"/>
                <w:szCs w:val="24"/>
              </w:rPr>
              <w:t>x</w:t>
            </w:r>
          </w:p>
        </w:tc>
        <w:tc>
          <w:tcPr>
            <w:tcW w:w="5960" w:type="dxa"/>
            <w:tcBorders>
              <w:top w:val="nil"/>
              <w:left w:val="nil"/>
              <w:bottom w:val="nil"/>
              <w:right w:val="nil"/>
            </w:tcBorders>
            <w:shd w:val="clear" w:color="000000" w:fill="FFFFFF"/>
            <w:vAlign w:val="bottom"/>
            <w:hideMark/>
          </w:tcPr>
          <w:p w14:paraId="1D15D39A" w14:textId="77777777" w:rsidR="007F31E4" w:rsidRPr="007F31E4" w:rsidRDefault="007F31E4" w:rsidP="007F31E4">
            <w:pPr>
              <w:spacing w:after="0" w:line="240" w:lineRule="auto"/>
              <w:rPr>
                <w:rFonts w:eastAsia="Times New Roman" w:cs="Arial"/>
                <w:sz w:val="24"/>
                <w:szCs w:val="24"/>
              </w:rPr>
            </w:pPr>
            <w:r w:rsidRPr="007F31E4">
              <w:rPr>
                <w:rFonts w:eastAsia="Times New Roman" w:cs="Arial"/>
                <w:sz w:val="24"/>
                <w:szCs w:val="24"/>
              </w:rPr>
              <w:t>Higher of State Equalization Level or Per Pupil Assessment</w:t>
            </w:r>
          </w:p>
        </w:tc>
        <w:tc>
          <w:tcPr>
            <w:tcW w:w="1900" w:type="dxa"/>
            <w:tcBorders>
              <w:top w:val="nil"/>
              <w:left w:val="nil"/>
              <w:bottom w:val="nil"/>
              <w:right w:val="single" w:sz="4" w:space="0" w:color="auto"/>
            </w:tcBorders>
            <w:shd w:val="clear" w:color="000000" w:fill="FFFFFF"/>
            <w:noWrap/>
            <w:vAlign w:val="bottom"/>
            <w:hideMark/>
          </w:tcPr>
          <w:p w14:paraId="696372EA" w14:textId="5DBEDD8E" w:rsidR="007F31E4" w:rsidRPr="007F31E4" w:rsidRDefault="007F31E4" w:rsidP="000D2E8E">
            <w:pPr>
              <w:spacing w:after="0" w:line="240" w:lineRule="auto"/>
              <w:jc w:val="right"/>
              <w:rPr>
                <w:rFonts w:eastAsia="Times New Roman" w:cs="Arial"/>
                <w:sz w:val="24"/>
                <w:szCs w:val="24"/>
              </w:rPr>
            </w:pPr>
            <w:r w:rsidRPr="007F31E4">
              <w:rPr>
                <w:rFonts w:eastAsia="Times New Roman" w:cs="Arial"/>
                <w:sz w:val="24"/>
                <w:szCs w:val="24"/>
              </w:rPr>
              <w:t>$</w:t>
            </w:r>
            <w:r w:rsidR="00792CA7">
              <w:rPr>
                <w:rFonts w:eastAsia="Times New Roman" w:cs="Arial"/>
                <w:sz w:val="24"/>
                <w:szCs w:val="24"/>
              </w:rPr>
              <w:t>1,016,000</w:t>
            </w:r>
            <w:r w:rsidR="002D0918">
              <w:rPr>
                <w:rFonts w:eastAsia="Times New Roman" w:cs="Arial"/>
                <w:sz w:val="24"/>
                <w:szCs w:val="24"/>
              </w:rPr>
              <w:t>*</w:t>
            </w:r>
            <w:r w:rsidRPr="007F31E4">
              <w:rPr>
                <w:rFonts w:eastAsia="Times New Roman" w:cs="Arial"/>
                <w:sz w:val="24"/>
                <w:szCs w:val="24"/>
              </w:rPr>
              <w:t xml:space="preserve"> </w:t>
            </w:r>
          </w:p>
        </w:tc>
      </w:tr>
      <w:tr w:rsidR="007F31E4" w:rsidRPr="007F31E4" w14:paraId="64E02D73" w14:textId="77777777" w:rsidTr="007F31E4">
        <w:trPr>
          <w:trHeight w:val="315"/>
        </w:trPr>
        <w:tc>
          <w:tcPr>
            <w:tcW w:w="357" w:type="dxa"/>
            <w:tcBorders>
              <w:top w:val="nil"/>
              <w:left w:val="single" w:sz="4" w:space="0" w:color="auto"/>
              <w:bottom w:val="nil"/>
              <w:right w:val="nil"/>
            </w:tcBorders>
            <w:shd w:val="clear" w:color="000000" w:fill="FFFFFF"/>
            <w:noWrap/>
            <w:vAlign w:val="bottom"/>
            <w:hideMark/>
          </w:tcPr>
          <w:p w14:paraId="5480CD1C" w14:textId="77777777" w:rsidR="007F31E4" w:rsidRPr="007F31E4" w:rsidRDefault="007F31E4" w:rsidP="007F31E4">
            <w:pPr>
              <w:spacing w:after="0" w:line="240" w:lineRule="auto"/>
              <w:rPr>
                <w:rFonts w:ascii="Arial" w:eastAsia="Times New Roman" w:hAnsi="Arial" w:cs="Arial"/>
                <w:b/>
                <w:bCs/>
                <w:sz w:val="24"/>
                <w:szCs w:val="24"/>
              </w:rPr>
            </w:pPr>
            <w:r w:rsidRPr="007F31E4">
              <w:rPr>
                <w:rFonts w:ascii="Arial" w:eastAsia="Times New Roman" w:hAnsi="Arial" w:cs="Arial"/>
                <w:b/>
                <w:bCs/>
                <w:sz w:val="24"/>
                <w:szCs w:val="24"/>
              </w:rPr>
              <w:t>=</w:t>
            </w:r>
          </w:p>
        </w:tc>
        <w:tc>
          <w:tcPr>
            <w:tcW w:w="5960" w:type="dxa"/>
            <w:tcBorders>
              <w:top w:val="nil"/>
              <w:left w:val="nil"/>
              <w:bottom w:val="nil"/>
              <w:right w:val="nil"/>
            </w:tcBorders>
            <w:shd w:val="clear" w:color="000000" w:fill="FFFFFF"/>
            <w:noWrap/>
            <w:vAlign w:val="bottom"/>
            <w:hideMark/>
          </w:tcPr>
          <w:p w14:paraId="6C498FE0" w14:textId="77777777" w:rsidR="007F31E4" w:rsidRPr="007F31E4" w:rsidRDefault="007F31E4" w:rsidP="007F31E4">
            <w:pPr>
              <w:spacing w:after="0" w:line="240" w:lineRule="auto"/>
              <w:rPr>
                <w:rFonts w:eastAsia="Times New Roman" w:cs="Arial"/>
                <w:sz w:val="24"/>
                <w:szCs w:val="24"/>
              </w:rPr>
            </w:pPr>
            <w:r w:rsidRPr="007F31E4">
              <w:rPr>
                <w:rFonts w:eastAsia="Times New Roman" w:cs="Arial"/>
                <w:sz w:val="24"/>
                <w:szCs w:val="24"/>
              </w:rPr>
              <w:t>Total Nickel Per Pupil Revenue</w:t>
            </w:r>
          </w:p>
        </w:tc>
        <w:tc>
          <w:tcPr>
            <w:tcW w:w="1900" w:type="dxa"/>
            <w:tcBorders>
              <w:top w:val="nil"/>
              <w:left w:val="nil"/>
              <w:bottom w:val="nil"/>
              <w:right w:val="single" w:sz="4" w:space="0" w:color="auto"/>
            </w:tcBorders>
            <w:shd w:val="clear" w:color="000000" w:fill="FFFFFF"/>
            <w:noWrap/>
            <w:vAlign w:val="bottom"/>
            <w:hideMark/>
          </w:tcPr>
          <w:p w14:paraId="5D216302" w14:textId="06D89886" w:rsidR="007F31E4" w:rsidRPr="007F31E4" w:rsidRDefault="007F31E4" w:rsidP="007F31E4">
            <w:pPr>
              <w:spacing w:after="0" w:line="240" w:lineRule="auto"/>
              <w:jc w:val="right"/>
              <w:rPr>
                <w:rFonts w:eastAsia="Times New Roman" w:cs="Arial"/>
                <w:sz w:val="24"/>
                <w:szCs w:val="24"/>
              </w:rPr>
            </w:pPr>
            <w:r w:rsidRPr="007F31E4">
              <w:rPr>
                <w:rFonts w:eastAsia="Times New Roman" w:cs="Arial"/>
                <w:sz w:val="24"/>
                <w:szCs w:val="24"/>
              </w:rPr>
              <w:t>$</w:t>
            </w:r>
            <w:r w:rsidR="00701414">
              <w:rPr>
                <w:rFonts w:eastAsia="Times New Roman" w:cs="Arial"/>
                <w:sz w:val="24"/>
                <w:szCs w:val="24"/>
              </w:rPr>
              <w:t>5</w:t>
            </w:r>
            <w:r w:rsidR="00792CA7">
              <w:rPr>
                <w:rFonts w:eastAsia="Times New Roman" w:cs="Arial"/>
                <w:sz w:val="24"/>
                <w:szCs w:val="24"/>
              </w:rPr>
              <w:t>08</w:t>
            </w:r>
            <w:r w:rsidRPr="007F31E4">
              <w:rPr>
                <w:rFonts w:eastAsia="Times New Roman" w:cs="Arial"/>
                <w:sz w:val="24"/>
                <w:szCs w:val="24"/>
              </w:rPr>
              <w:t>.</w:t>
            </w:r>
            <w:r w:rsidR="00792CA7">
              <w:rPr>
                <w:rFonts w:eastAsia="Times New Roman" w:cs="Arial"/>
                <w:sz w:val="24"/>
                <w:szCs w:val="24"/>
              </w:rPr>
              <w:t>0</w:t>
            </w:r>
            <w:r w:rsidR="00701414">
              <w:rPr>
                <w:rFonts w:eastAsia="Times New Roman" w:cs="Arial"/>
                <w:sz w:val="24"/>
                <w:szCs w:val="24"/>
              </w:rPr>
              <w:t>0</w:t>
            </w:r>
            <w:r w:rsidR="002D0918">
              <w:rPr>
                <w:rFonts w:eastAsia="Times New Roman" w:cs="Arial"/>
                <w:sz w:val="24"/>
                <w:szCs w:val="24"/>
              </w:rPr>
              <w:t>*</w:t>
            </w:r>
            <w:r w:rsidRPr="007F31E4">
              <w:rPr>
                <w:rFonts w:eastAsia="Times New Roman" w:cs="Arial"/>
                <w:sz w:val="24"/>
                <w:szCs w:val="24"/>
              </w:rPr>
              <w:t xml:space="preserve"> </w:t>
            </w:r>
          </w:p>
        </w:tc>
      </w:tr>
      <w:tr w:rsidR="007F31E4" w:rsidRPr="007F31E4" w14:paraId="3704234E" w14:textId="77777777" w:rsidTr="007F31E4">
        <w:trPr>
          <w:trHeight w:val="315"/>
        </w:trPr>
        <w:tc>
          <w:tcPr>
            <w:tcW w:w="357" w:type="dxa"/>
            <w:tcBorders>
              <w:top w:val="nil"/>
              <w:left w:val="single" w:sz="4" w:space="0" w:color="auto"/>
              <w:bottom w:val="nil"/>
              <w:right w:val="nil"/>
            </w:tcBorders>
            <w:shd w:val="clear" w:color="000000" w:fill="FFFFFF"/>
            <w:noWrap/>
            <w:vAlign w:val="bottom"/>
            <w:hideMark/>
          </w:tcPr>
          <w:p w14:paraId="073C79EF" w14:textId="77777777" w:rsidR="007F31E4" w:rsidRPr="007F31E4" w:rsidRDefault="007F31E4" w:rsidP="007F31E4">
            <w:pPr>
              <w:spacing w:after="0" w:line="240" w:lineRule="auto"/>
              <w:rPr>
                <w:rFonts w:ascii="Arial" w:eastAsia="Times New Roman" w:hAnsi="Arial" w:cs="Arial"/>
                <w:b/>
                <w:bCs/>
                <w:sz w:val="24"/>
                <w:szCs w:val="24"/>
              </w:rPr>
            </w:pPr>
            <w:r w:rsidRPr="007F31E4">
              <w:rPr>
                <w:rFonts w:ascii="Arial" w:eastAsia="Times New Roman" w:hAnsi="Arial" w:cs="Arial"/>
                <w:b/>
                <w:bCs/>
                <w:sz w:val="24"/>
                <w:szCs w:val="24"/>
              </w:rPr>
              <w:t>x</w:t>
            </w:r>
          </w:p>
        </w:tc>
        <w:tc>
          <w:tcPr>
            <w:tcW w:w="5960" w:type="dxa"/>
            <w:tcBorders>
              <w:top w:val="nil"/>
              <w:left w:val="nil"/>
              <w:bottom w:val="nil"/>
              <w:right w:val="nil"/>
            </w:tcBorders>
            <w:shd w:val="clear" w:color="000000" w:fill="FFFFFF"/>
            <w:noWrap/>
            <w:vAlign w:val="bottom"/>
            <w:hideMark/>
          </w:tcPr>
          <w:p w14:paraId="361E818B" w14:textId="77777777" w:rsidR="007F31E4" w:rsidRPr="007F31E4" w:rsidRDefault="007F31E4" w:rsidP="007F31E4">
            <w:pPr>
              <w:spacing w:after="0" w:line="240" w:lineRule="auto"/>
              <w:rPr>
                <w:rFonts w:eastAsia="Times New Roman" w:cs="Arial"/>
                <w:sz w:val="24"/>
                <w:szCs w:val="24"/>
              </w:rPr>
            </w:pPr>
            <w:r w:rsidRPr="007F31E4">
              <w:rPr>
                <w:rFonts w:eastAsia="Times New Roman" w:cs="Arial"/>
                <w:sz w:val="24"/>
                <w:szCs w:val="24"/>
              </w:rPr>
              <w:t>AADA Plus Growth</w:t>
            </w:r>
          </w:p>
        </w:tc>
        <w:tc>
          <w:tcPr>
            <w:tcW w:w="1900" w:type="dxa"/>
            <w:tcBorders>
              <w:top w:val="nil"/>
              <w:left w:val="nil"/>
              <w:bottom w:val="nil"/>
              <w:right w:val="single" w:sz="4" w:space="0" w:color="auto"/>
            </w:tcBorders>
            <w:shd w:val="clear" w:color="000000" w:fill="FFFFFF"/>
            <w:noWrap/>
            <w:vAlign w:val="bottom"/>
            <w:hideMark/>
          </w:tcPr>
          <w:p w14:paraId="4B5C826B" w14:textId="298D5602" w:rsidR="007F31E4" w:rsidRPr="007F31E4" w:rsidRDefault="007F31E4" w:rsidP="007F31E4">
            <w:pPr>
              <w:spacing w:after="0" w:line="240" w:lineRule="auto"/>
              <w:jc w:val="right"/>
              <w:rPr>
                <w:rFonts w:eastAsia="Times New Roman" w:cs="Arial"/>
                <w:sz w:val="24"/>
                <w:szCs w:val="24"/>
              </w:rPr>
            </w:pPr>
            <w:r w:rsidRPr="007F31E4">
              <w:rPr>
                <w:rFonts w:eastAsia="Times New Roman" w:cs="Arial"/>
                <w:sz w:val="24"/>
                <w:szCs w:val="24"/>
              </w:rPr>
              <w:t>2,</w:t>
            </w:r>
            <w:r w:rsidR="00792CA7">
              <w:rPr>
                <w:rFonts w:eastAsia="Times New Roman" w:cs="Arial"/>
                <w:sz w:val="24"/>
                <w:szCs w:val="24"/>
              </w:rPr>
              <w:t>4</w:t>
            </w:r>
            <w:r w:rsidRPr="007F31E4">
              <w:rPr>
                <w:rFonts w:eastAsia="Times New Roman" w:cs="Arial"/>
                <w:sz w:val="24"/>
                <w:szCs w:val="24"/>
              </w:rPr>
              <w:t>3</w:t>
            </w:r>
            <w:r w:rsidR="00792CA7">
              <w:rPr>
                <w:rFonts w:eastAsia="Times New Roman" w:cs="Arial"/>
                <w:sz w:val="24"/>
                <w:szCs w:val="24"/>
              </w:rPr>
              <w:t>3</w:t>
            </w:r>
            <w:r w:rsidRPr="007F31E4">
              <w:rPr>
                <w:rFonts w:eastAsia="Times New Roman" w:cs="Arial"/>
                <w:sz w:val="24"/>
                <w:szCs w:val="24"/>
              </w:rPr>
              <w:t>.</w:t>
            </w:r>
            <w:r w:rsidR="00792CA7">
              <w:rPr>
                <w:rFonts w:eastAsia="Times New Roman" w:cs="Arial"/>
                <w:sz w:val="24"/>
                <w:szCs w:val="24"/>
              </w:rPr>
              <w:t>892</w:t>
            </w:r>
            <w:r w:rsidR="002D0918">
              <w:rPr>
                <w:rFonts w:eastAsia="Times New Roman" w:cs="Arial"/>
                <w:sz w:val="24"/>
                <w:szCs w:val="24"/>
              </w:rPr>
              <w:t>*</w:t>
            </w:r>
          </w:p>
        </w:tc>
      </w:tr>
      <w:tr w:rsidR="007F31E4" w:rsidRPr="007F31E4" w14:paraId="7B4701C1" w14:textId="77777777" w:rsidTr="007F31E4">
        <w:trPr>
          <w:trHeight w:val="315"/>
        </w:trPr>
        <w:tc>
          <w:tcPr>
            <w:tcW w:w="357" w:type="dxa"/>
            <w:tcBorders>
              <w:top w:val="nil"/>
              <w:left w:val="single" w:sz="4" w:space="0" w:color="auto"/>
              <w:bottom w:val="single" w:sz="4" w:space="0" w:color="auto"/>
              <w:right w:val="nil"/>
            </w:tcBorders>
            <w:shd w:val="clear" w:color="000000" w:fill="FFFFFF"/>
            <w:noWrap/>
            <w:vAlign w:val="bottom"/>
            <w:hideMark/>
          </w:tcPr>
          <w:p w14:paraId="34CB3869" w14:textId="77777777" w:rsidR="007F31E4" w:rsidRPr="007F31E4" w:rsidRDefault="007F31E4" w:rsidP="007F31E4">
            <w:pPr>
              <w:spacing w:after="0" w:line="240" w:lineRule="auto"/>
              <w:rPr>
                <w:rFonts w:ascii="Arial" w:eastAsia="Times New Roman" w:hAnsi="Arial" w:cs="Arial"/>
                <w:b/>
                <w:bCs/>
                <w:sz w:val="24"/>
                <w:szCs w:val="24"/>
              </w:rPr>
            </w:pPr>
            <w:r w:rsidRPr="007F31E4">
              <w:rPr>
                <w:rFonts w:ascii="Arial" w:eastAsia="Times New Roman" w:hAnsi="Arial" w:cs="Arial"/>
                <w:b/>
                <w:bCs/>
                <w:sz w:val="24"/>
                <w:szCs w:val="24"/>
              </w:rPr>
              <w:t>=</w:t>
            </w:r>
          </w:p>
        </w:tc>
        <w:tc>
          <w:tcPr>
            <w:tcW w:w="5960" w:type="dxa"/>
            <w:tcBorders>
              <w:top w:val="nil"/>
              <w:left w:val="nil"/>
              <w:bottom w:val="single" w:sz="4" w:space="0" w:color="auto"/>
              <w:right w:val="nil"/>
            </w:tcBorders>
            <w:shd w:val="clear" w:color="000000" w:fill="FFFFFF"/>
            <w:noWrap/>
            <w:vAlign w:val="bottom"/>
            <w:hideMark/>
          </w:tcPr>
          <w:p w14:paraId="733FDC26" w14:textId="77777777" w:rsidR="007F31E4" w:rsidRPr="007F31E4" w:rsidRDefault="007F31E4" w:rsidP="007F31E4">
            <w:pPr>
              <w:spacing w:after="0" w:line="240" w:lineRule="auto"/>
              <w:rPr>
                <w:rFonts w:eastAsia="Times New Roman" w:cs="Arial"/>
                <w:sz w:val="24"/>
                <w:szCs w:val="24"/>
              </w:rPr>
            </w:pPr>
            <w:r w:rsidRPr="007F31E4">
              <w:rPr>
                <w:rFonts w:eastAsia="Times New Roman" w:cs="Arial"/>
                <w:sz w:val="24"/>
                <w:szCs w:val="24"/>
              </w:rPr>
              <w:t>Total Nickel</w:t>
            </w:r>
          </w:p>
        </w:tc>
        <w:tc>
          <w:tcPr>
            <w:tcW w:w="1900" w:type="dxa"/>
            <w:tcBorders>
              <w:top w:val="nil"/>
              <w:left w:val="nil"/>
              <w:bottom w:val="single" w:sz="4" w:space="0" w:color="auto"/>
              <w:right w:val="single" w:sz="4" w:space="0" w:color="auto"/>
            </w:tcBorders>
            <w:shd w:val="clear" w:color="000000" w:fill="FFFFFF"/>
            <w:noWrap/>
            <w:vAlign w:val="bottom"/>
            <w:hideMark/>
          </w:tcPr>
          <w:p w14:paraId="73ED8CFF" w14:textId="3C82EC18" w:rsidR="007F31E4" w:rsidRPr="007F31E4" w:rsidRDefault="007F31E4" w:rsidP="007F31E4">
            <w:pPr>
              <w:spacing w:after="0" w:line="240" w:lineRule="auto"/>
              <w:jc w:val="right"/>
              <w:rPr>
                <w:rFonts w:eastAsia="Times New Roman" w:cs="Arial"/>
                <w:sz w:val="24"/>
                <w:szCs w:val="24"/>
              </w:rPr>
            </w:pPr>
            <w:r w:rsidRPr="007F31E4">
              <w:rPr>
                <w:rFonts w:eastAsia="Times New Roman" w:cs="Arial"/>
                <w:sz w:val="24"/>
                <w:szCs w:val="24"/>
              </w:rPr>
              <w:t>$</w:t>
            </w:r>
            <w:r w:rsidR="00042605">
              <w:rPr>
                <w:rFonts w:eastAsia="Times New Roman" w:cs="Arial"/>
                <w:sz w:val="24"/>
                <w:szCs w:val="24"/>
              </w:rPr>
              <w:t>1</w:t>
            </w:r>
            <w:r w:rsidRPr="007F31E4">
              <w:rPr>
                <w:rFonts w:eastAsia="Times New Roman" w:cs="Arial"/>
                <w:sz w:val="24"/>
                <w:szCs w:val="24"/>
              </w:rPr>
              <w:t>,</w:t>
            </w:r>
            <w:r w:rsidR="00AF34D4">
              <w:rPr>
                <w:rFonts w:eastAsia="Times New Roman" w:cs="Arial"/>
                <w:sz w:val="24"/>
                <w:szCs w:val="24"/>
              </w:rPr>
              <w:t>236</w:t>
            </w:r>
            <w:r w:rsidR="00701414">
              <w:rPr>
                <w:rFonts w:eastAsia="Times New Roman" w:cs="Arial"/>
                <w:sz w:val="24"/>
                <w:szCs w:val="24"/>
              </w:rPr>
              <w:t>,</w:t>
            </w:r>
            <w:r w:rsidR="00AF34D4">
              <w:rPr>
                <w:rFonts w:eastAsia="Times New Roman" w:cs="Arial"/>
                <w:sz w:val="24"/>
                <w:szCs w:val="24"/>
              </w:rPr>
              <w:t>417</w:t>
            </w:r>
            <w:r w:rsidR="002D0918">
              <w:rPr>
                <w:rFonts w:eastAsia="Times New Roman" w:cs="Arial"/>
                <w:sz w:val="24"/>
                <w:szCs w:val="24"/>
              </w:rPr>
              <w:t>*</w:t>
            </w:r>
            <w:r w:rsidRPr="007F31E4">
              <w:rPr>
                <w:rFonts w:eastAsia="Times New Roman" w:cs="Arial"/>
                <w:sz w:val="24"/>
                <w:szCs w:val="24"/>
              </w:rPr>
              <w:t xml:space="preserve"> </w:t>
            </w:r>
          </w:p>
        </w:tc>
      </w:tr>
    </w:tbl>
    <w:p w14:paraId="6E1B3156" w14:textId="77777777" w:rsidR="007F31E4" w:rsidRPr="002D0918" w:rsidRDefault="002D0918" w:rsidP="002D0918">
      <w:pPr>
        <w:rPr>
          <w:i/>
          <w:sz w:val="20"/>
          <w:szCs w:val="20"/>
        </w:rPr>
      </w:pPr>
      <w:r w:rsidRPr="002D0918">
        <w:rPr>
          <w:i/>
          <w:sz w:val="20"/>
          <w:szCs w:val="20"/>
        </w:rPr>
        <w:t>*figures used are strictly for example purposes, please verify noted data current for your district prior to calculation of local, state or nickel equivalent equalization.</w:t>
      </w:r>
    </w:p>
    <w:p w14:paraId="2440A38F" w14:textId="77777777" w:rsidR="007F31E4" w:rsidRPr="00860792" w:rsidRDefault="00860792" w:rsidP="007F31E4">
      <w:pPr>
        <w:rPr>
          <w:b/>
          <w:color w:val="FFFFFF" w:themeColor="background1"/>
          <w:sz w:val="28"/>
          <w:szCs w:val="28"/>
        </w:rPr>
      </w:pPr>
      <w:r w:rsidRPr="00860792">
        <w:rPr>
          <w:b/>
          <w:color w:val="FFFFFF" w:themeColor="background1"/>
          <w:sz w:val="28"/>
          <w:szCs w:val="28"/>
        </w:rPr>
        <w:t>Blank</w:t>
      </w:r>
    </w:p>
    <w:p w14:paraId="5ECF6D67" w14:textId="77777777" w:rsidR="00860792" w:rsidRPr="00860792" w:rsidRDefault="00860792" w:rsidP="007F31E4">
      <w:pPr>
        <w:rPr>
          <w:b/>
          <w:color w:val="FFFFFF" w:themeColor="background1"/>
          <w:sz w:val="28"/>
          <w:szCs w:val="28"/>
        </w:rPr>
      </w:pPr>
      <w:r w:rsidRPr="00860792">
        <w:rPr>
          <w:b/>
          <w:color w:val="FFFFFF" w:themeColor="background1"/>
          <w:sz w:val="28"/>
          <w:szCs w:val="28"/>
        </w:rPr>
        <w:t>Blank</w:t>
      </w:r>
    </w:p>
    <w:p w14:paraId="56A4FB0F" w14:textId="77777777" w:rsidR="00860792" w:rsidRPr="00860792" w:rsidRDefault="00860792" w:rsidP="007F31E4">
      <w:pPr>
        <w:rPr>
          <w:b/>
          <w:color w:val="FFFFFF" w:themeColor="background1"/>
          <w:sz w:val="28"/>
          <w:szCs w:val="28"/>
        </w:rPr>
      </w:pPr>
      <w:r w:rsidRPr="00860792">
        <w:rPr>
          <w:b/>
          <w:color w:val="FFFFFF" w:themeColor="background1"/>
          <w:sz w:val="28"/>
          <w:szCs w:val="28"/>
        </w:rPr>
        <w:t xml:space="preserve">Blank </w:t>
      </w:r>
    </w:p>
    <w:p w14:paraId="124044D8" w14:textId="77777777" w:rsidR="00860792" w:rsidRPr="00860792" w:rsidRDefault="00860792" w:rsidP="007F31E4">
      <w:pPr>
        <w:rPr>
          <w:b/>
          <w:color w:val="FFFFFF" w:themeColor="background1"/>
          <w:sz w:val="28"/>
          <w:szCs w:val="28"/>
        </w:rPr>
      </w:pPr>
      <w:r w:rsidRPr="00860792">
        <w:rPr>
          <w:b/>
          <w:color w:val="FFFFFF" w:themeColor="background1"/>
          <w:sz w:val="28"/>
          <w:szCs w:val="28"/>
        </w:rPr>
        <w:t>Blank</w:t>
      </w:r>
    </w:p>
    <w:p w14:paraId="469DD681" w14:textId="77777777" w:rsidR="00860792" w:rsidRPr="00860792" w:rsidRDefault="00860792" w:rsidP="007F31E4">
      <w:pPr>
        <w:rPr>
          <w:b/>
          <w:color w:val="FFFFFF" w:themeColor="background1"/>
          <w:sz w:val="28"/>
          <w:szCs w:val="28"/>
        </w:rPr>
      </w:pPr>
      <w:r w:rsidRPr="00860792">
        <w:rPr>
          <w:b/>
          <w:color w:val="FFFFFF" w:themeColor="background1"/>
          <w:sz w:val="28"/>
          <w:szCs w:val="28"/>
        </w:rPr>
        <w:t>Blank</w:t>
      </w:r>
    </w:p>
    <w:p w14:paraId="303AEA02" w14:textId="77777777" w:rsidR="00860792" w:rsidRPr="00860792" w:rsidRDefault="00860792" w:rsidP="007F31E4">
      <w:pPr>
        <w:rPr>
          <w:b/>
          <w:color w:val="FFFFFF" w:themeColor="background1"/>
          <w:sz w:val="28"/>
          <w:szCs w:val="28"/>
        </w:rPr>
      </w:pPr>
      <w:r w:rsidRPr="00860792">
        <w:rPr>
          <w:b/>
          <w:color w:val="FFFFFF" w:themeColor="background1"/>
          <w:sz w:val="28"/>
          <w:szCs w:val="28"/>
        </w:rPr>
        <w:t>Blank</w:t>
      </w:r>
    </w:p>
    <w:p w14:paraId="5F300BB7" w14:textId="77777777" w:rsidR="00444D4A" w:rsidRDefault="00444D4A" w:rsidP="007F31E4">
      <w:pPr>
        <w:rPr>
          <w:b/>
          <w:color w:val="FFFFFF" w:themeColor="background1"/>
          <w:sz w:val="28"/>
          <w:szCs w:val="28"/>
        </w:rPr>
      </w:pPr>
    </w:p>
    <w:p w14:paraId="513E6623" w14:textId="77777777" w:rsidR="001548ED" w:rsidRPr="00860792" w:rsidRDefault="00860792" w:rsidP="007F31E4">
      <w:pPr>
        <w:rPr>
          <w:b/>
          <w:color w:val="FFFFFF" w:themeColor="background1"/>
          <w:sz w:val="28"/>
          <w:szCs w:val="28"/>
        </w:rPr>
      </w:pPr>
      <w:r w:rsidRPr="00860792">
        <w:rPr>
          <w:b/>
          <w:color w:val="FFFFFF" w:themeColor="background1"/>
          <w:sz w:val="28"/>
          <w:szCs w:val="28"/>
        </w:rPr>
        <w:t>Blank</w:t>
      </w:r>
    </w:p>
    <w:p w14:paraId="2DE03EE0" w14:textId="77777777" w:rsidR="000A0C9E" w:rsidRDefault="000A0C9E" w:rsidP="00E449D6">
      <w:pPr>
        <w:rPr>
          <w:b/>
          <w:sz w:val="28"/>
          <w:szCs w:val="28"/>
        </w:rPr>
      </w:pPr>
    </w:p>
    <w:p w14:paraId="61E133D0" w14:textId="45A6DFB0" w:rsidR="00E449D6" w:rsidRDefault="00FE4FD4" w:rsidP="00E449D6">
      <w:pPr>
        <w:rPr>
          <w:b/>
          <w:sz w:val="28"/>
          <w:szCs w:val="28"/>
        </w:rPr>
      </w:pPr>
      <w:r>
        <w:rPr>
          <w:b/>
          <w:sz w:val="28"/>
          <w:szCs w:val="28"/>
        </w:rPr>
        <w:lastRenderedPageBreak/>
        <w:t xml:space="preserve">Facilities Support Program of Kentucky </w:t>
      </w:r>
      <w:r w:rsidR="0011468E">
        <w:rPr>
          <w:b/>
          <w:sz w:val="28"/>
          <w:szCs w:val="28"/>
        </w:rPr>
        <w:t>(</w:t>
      </w:r>
      <w:r w:rsidR="00E449D6" w:rsidRPr="001F39AB">
        <w:rPr>
          <w:b/>
          <w:sz w:val="28"/>
          <w:szCs w:val="28"/>
        </w:rPr>
        <w:t>FSPK</w:t>
      </w:r>
      <w:r w:rsidR="0011468E">
        <w:rPr>
          <w:b/>
          <w:sz w:val="28"/>
          <w:szCs w:val="28"/>
        </w:rPr>
        <w:t>) Nickel</w:t>
      </w:r>
      <w:r w:rsidR="00E449D6" w:rsidRPr="001F39AB">
        <w:rPr>
          <w:b/>
          <w:sz w:val="28"/>
          <w:szCs w:val="28"/>
        </w:rPr>
        <w:t xml:space="preserve"> Facts: </w:t>
      </w:r>
    </w:p>
    <w:p w14:paraId="178DB05F" w14:textId="77777777" w:rsidR="008148C9" w:rsidRDefault="00BE1D8F" w:rsidP="008148C9">
      <w:pPr>
        <w:numPr>
          <w:ilvl w:val="0"/>
          <w:numId w:val="2"/>
        </w:numPr>
      </w:pPr>
      <w:r w:rsidRPr="00E449D6">
        <w:t xml:space="preserve">FSPK </w:t>
      </w:r>
      <w:r w:rsidR="008148C9">
        <w:t xml:space="preserve">was </w:t>
      </w:r>
      <w:r>
        <w:t>enacted</w:t>
      </w:r>
      <w:r w:rsidRPr="00E449D6">
        <w:t xml:space="preserve"> </w:t>
      </w:r>
      <w:r w:rsidR="007B4DC0">
        <w:t xml:space="preserve">through Kentucky Revised Statute 157.440 (b) </w:t>
      </w:r>
      <w:r w:rsidRPr="00E449D6">
        <w:t>in 1990</w:t>
      </w:r>
      <w:r w:rsidR="00F038F5">
        <w:t>.</w:t>
      </w:r>
      <w:r w:rsidRPr="00E449D6">
        <w:t xml:space="preserve"> </w:t>
      </w:r>
    </w:p>
    <w:p w14:paraId="31B3DF04" w14:textId="77777777" w:rsidR="008148C9" w:rsidRDefault="008148C9" w:rsidP="008148C9">
      <w:pPr>
        <w:numPr>
          <w:ilvl w:val="0"/>
          <w:numId w:val="2"/>
        </w:numPr>
      </w:pPr>
      <w:r>
        <w:t>R</w:t>
      </w:r>
      <w:r w:rsidR="00BE1D8F" w:rsidRPr="00E449D6">
        <w:t>evenue is coded to fund 320 (Building FSPK Fund)</w:t>
      </w:r>
      <w:r w:rsidR="00F038F5">
        <w:t>.</w:t>
      </w:r>
    </w:p>
    <w:p w14:paraId="5C7F6043" w14:textId="77777777" w:rsidR="00E449D6" w:rsidRDefault="00E449D6" w:rsidP="008148C9">
      <w:pPr>
        <w:numPr>
          <w:ilvl w:val="0"/>
          <w:numId w:val="2"/>
        </w:numPr>
      </w:pPr>
      <w:r w:rsidRPr="00E449D6">
        <w:t xml:space="preserve">All districts levy </w:t>
      </w:r>
      <w:r w:rsidR="00F038F5">
        <w:t>FSPK.</w:t>
      </w:r>
    </w:p>
    <w:p w14:paraId="1D9CD2F1" w14:textId="77777777" w:rsidR="00BA1C62" w:rsidRDefault="00E449D6" w:rsidP="00BE1D8F">
      <w:pPr>
        <w:numPr>
          <w:ilvl w:val="0"/>
          <w:numId w:val="2"/>
        </w:numPr>
      </w:pPr>
      <w:r w:rsidRPr="00E449D6">
        <w:t xml:space="preserve">Levy for this nickel must be at least </w:t>
      </w:r>
      <w:r w:rsidR="00F038F5">
        <w:t>five</w:t>
      </w:r>
      <w:r w:rsidRPr="00E449D6">
        <w:t xml:space="preserve"> cents and is required to qualify for the Facilities Support Program of Kentucky and for a district to qualify for offers from the School Facilities Construction Commission (SFCC). </w:t>
      </w:r>
    </w:p>
    <w:p w14:paraId="245530E8" w14:textId="131BEFF6" w:rsidR="008C037F" w:rsidRPr="008C037F" w:rsidRDefault="008C037F" w:rsidP="008C037F">
      <w:pPr>
        <w:numPr>
          <w:ilvl w:val="0"/>
          <w:numId w:val="2"/>
        </w:numPr>
      </w:pPr>
      <w:r w:rsidRPr="008C037F">
        <w:t xml:space="preserve">State FSPK equalization is only for the districts whose per pupil assessment is </w:t>
      </w:r>
      <w:r w:rsidRPr="008C037F">
        <w:rPr>
          <w:u w:val="single"/>
        </w:rPr>
        <w:t xml:space="preserve">not </w:t>
      </w:r>
      <w:r w:rsidRPr="008C037F">
        <w:t xml:space="preserve">above </w:t>
      </w:r>
      <w:r w:rsidR="00F038F5">
        <w:t>one hundred and fifty percent</w:t>
      </w:r>
      <w:r w:rsidRPr="008C037F">
        <w:t xml:space="preserve"> </w:t>
      </w:r>
      <w:r w:rsidR="00995B09">
        <w:t xml:space="preserve">(150%) </w:t>
      </w:r>
      <w:r w:rsidRPr="008C037F">
        <w:t>of the statewide average</w:t>
      </w:r>
      <w:r w:rsidR="00F038F5">
        <w:t>.</w:t>
      </w:r>
    </w:p>
    <w:p w14:paraId="73420773" w14:textId="77777777" w:rsidR="00E449D6" w:rsidRDefault="00E449D6" w:rsidP="00E449D6">
      <w:pPr>
        <w:numPr>
          <w:ilvl w:val="0"/>
          <w:numId w:val="2"/>
        </w:numPr>
      </w:pPr>
      <w:r w:rsidRPr="00E449D6">
        <w:t>Has been fully funded since 1996</w:t>
      </w:r>
      <w:r w:rsidR="00F038F5">
        <w:t>.</w:t>
      </w:r>
    </w:p>
    <w:p w14:paraId="4724B872" w14:textId="1D56F9E1" w:rsidR="001F39AB" w:rsidRDefault="002459A6" w:rsidP="001F39AB">
      <w:pPr>
        <w:numPr>
          <w:ilvl w:val="0"/>
          <w:numId w:val="2"/>
        </w:numPr>
      </w:pPr>
      <w:r>
        <w:t>167</w:t>
      </w:r>
      <w:r w:rsidR="001F39AB">
        <w:t xml:space="preserve"> districts qualified for FSP</w:t>
      </w:r>
      <w:r w:rsidR="00A1168A">
        <w:t>K equalization as of the</w:t>
      </w:r>
      <w:r w:rsidR="0011468E">
        <w:t xml:space="preserve"> FY </w:t>
      </w:r>
      <w:r w:rsidR="00A1168A">
        <w:t>20</w:t>
      </w:r>
      <w:r w:rsidR="005C2329">
        <w:t>22-23 SEEK F</w:t>
      </w:r>
      <w:r w:rsidR="00995B09">
        <w:t>inal</w:t>
      </w:r>
      <w:r w:rsidR="005C2329">
        <w:t xml:space="preserve">. </w:t>
      </w:r>
      <w:r w:rsidR="001F39AB">
        <w:t xml:space="preserve">Districts listed below have per pupil assessment levels above </w:t>
      </w:r>
      <w:r w:rsidR="00F038F5">
        <w:t>one hundred and fifty percent</w:t>
      </w:r>
      <w:r w:rsidR="00995B09">
        <w:t xml:space="preserve"> (150%)</w:t>
      </w:r>
      <w:r w:rsidR="001F39AB">
        <w:t xml:space="preserve"> of the statewide average and do not qualify for the equalization:</w:t>
      </w:r>
    </w:p>
    <w:p w14:paraId="2387B808" w14:textId="219ABEAB" w:rsidR="001F39AB" w:rsidRDefault="001F39AB" w:rsidP="002C6979">
      <w:pPr>
        <w:numPr>
          <w:ilvl w:val="1"/>
          <w:numId w:val="2"/>
        </w:numPr>
      </w:pPr>
      <w:r>
        <w:t>Anchorage Independent</w:t>
      </w:r>
    </w:p>
    <w:p w14:paraId="28ABD90F" w14:textId="77777777" w:rsidR="007C1AC8" w:rsidRDefault="007C1AC8" w:rsidP="002459A6">
      <w:pPr>
        <w:numPr>
          <w:ilvl w:val="1"/>
          <w:numId w:val="2"/>
        </w:numPr>
      </w:pPr>
      <w:r>
        <w:t>Jefferson County</w:t>
      </w:r>
    </w:p>
    <w:p w14:paraId="0DC1F641" w14:textId="76DFE545" w:rsidR="002C6979" w:rsidRDefault="002C6979" w:rsidP="002459A6">
      <w:pPr>
        <w:numPr>
          <w:ilvl w:val="1"/>
          <w:numId w:val="2"/>
        </w:numPr>
      </w:pPr>
      <w:r>
        <w:t>Livingston County</w:t>
      </w:r>
    </w:p>
    <w:p w14:paraId="63B2D93B" w14:textId="77777777" w:rsidR="009250A7" w:rsidRDefault="001F39AB" w:rsidP="00BA1C62">
      <w:pPr>
        <w:numPr>
          <w:ilvl w:val="1"/>
          <w:numId w:val="2"/>
        </w:numPr>
      </w:pPr>
      <w:r>
        <w:t>Lyon County</w:t>
      </w:r>
    </w:p>
    <w:p w14:paraId="5F44A2E5" w14:textId="77777777" w:rsidR="009250A7" w:rsidRPr="009250A7" w:rsidRDefault="009250A7" w:rsidP="009250A7">
      <w:pPr>
        <w:ind w:left="1440"/>
      </w:pPr>
    </w:p>
    <w:p w14:paraId="672A0BB2" w14:textId="77777777" w:rsidR="00BA1C62" w:rsidRPr="009250A7" w:rsidRDefault="008148C9" w:rsidP="00BA1C62">
      <w:pPr>
        <w:rPr>
          <w:b/>
          <w:color w:val="FFFFFF" w:themeColor="background1"/>
          <w:sz w:val="28"/>
          <w:szCs w:val="28"/>
        </w:rPr>
      </w:pPr>
      <w:r>
        <w:rPr>
          <w:b/>
          <w:sz w:val="28"/>
          <w:szCs w:val="28"/>
        </w:rPr>
        <w:t xml:space="preserve">Original </w:t>
      </w:r>
      <w:r w:rsidR="001F39AB" w:rsidRPr="001F39AB">
        <w:rPr>
          <w:b/>
          <w:sz w:val="28"/>
          <w:szCs w:val="28"/>
        </w:rPr>
        <w:t>Growth Nickel Facts:</w:t>
      </w:r>
    </w:p>
    <w:p w14:paraId="530FAA11" w14:textId="77777777" w:rsidR="00BE1D8F" w:rsidRDefault="008148C9" w:rsidP="00CF18A9">
      <w:pPr>
        <w:numPr>
          <w:ilvl w:val="0"/>
          <w:numId w:val="3"/>
        </w:numPr>
      </w:pPr>
      <w:r>
        <w:t xml:space="preserve">Original </w:t>
      </w:r>
      <w:r w:rsidR="00BE1D8F">
        <w:t>Growth Nickel was</w:t>
      </w:r>
      <w:r w:rsidR="00BE1D8F" w:rsidRPr="00CF18A9">
        <w:t xml:space="preserve"> enacted</w:t>
      </w:r>
      <w:r w:rsidR="007B4DC0">
        <w:t xml:space="preserve"> through Kentucky Revised Statute 157.621</w:t>
      </w:r>
      <w:r w:rsidR="00BE1D8F" w:rsidRPr="00CF18A9">
        <w:t xml:space="preserve"> in 1994</w:t>
      </w:r>
      <w:r w:rsidR="00F038F5">
        <w:t>.</w:t>
      </w:r>
    </w:p>
    <w:p w14:paraId="1AFC386D" w14:textId="77777777" w:rsidR="00CF18A9" w:rsidRPr="00CF18A9" w:rsidRDefault="00CF18A9" w:rsidP="00CF18A9">
      <w:pPr>
        <w:numPr>
          <w:ilvl w:val="0"/>
          <w:numId w:val="3"/>
        </w:numPr>
      </w:pPr>
      <w:r w:rsidRPr="00CF18A9">
        <w:t>Nickel</w:t>
      </w:r>
      <w:r>
        <w:t xml:space="preserve"> levied</w:t>
      </w:r>
      <w:r w:rsidRPr="00CF18A9">
        <w:t xml:space="preserve"> to accommodate districts wit</w:t>
      </w:r>
      <w:r>
        <w:t>h growing student population.  Districts levied m</w:t>
      </w:r>
      <w:r w:rsidRPr="00CF18A9">
        <w:t>et criteria of a growth district according to KRS 157.621</w:t>
      </w:r>
      <w:r>
        <w:t>, outlined below</w:t>
      </w:r>
      <w:r w:rsidRPr="00CF18A9">
        <w:t>:</w:t>
      </w:r>
    </w:p>
    <w:p w14:paraId="590D76CD" w14:textId="77777777" w:rsidR="00CF18A9" w:rsidRPr="00CF18A9" w:rsidRDefault="00CF18A9" w:rsidP="00C62727">
      <w:pPr>
        <w:numPr>
          <w:ilvl w:val="1"/>
          <w:numId w:val="3"/>
        </w:numPr>
      </w:pPr>
      <w:r w:rsidRPr="00CF18A9">
        <w:t>Growth of at least one hundred fifty students in average daily attendance and three percent overall growth for the five preceding years</w:t>
      </w:r>
      <w:r w:rsidR="00F125D2">
        <w:t>.</w:t>
      </w:r>
    </w:p>
    <w:p w14:paraId="74938211" w14:textId="77777777" w:rsidR="00CF18A9" w:rsidRPr="00CF18A9" w:rsidRDefault="00CF18A9" w:rsidP="00BE1D8F">
      <w:pPr>
        <w:numPr>
          <w:ilvl w:val="1"/>
          <w:numId w:val="3"/>
        </w:numPr>
      </w:pPr>
      <w:r w:rsidRPr="00CF18A9">
        <w:t xml:space="preserve">Bonded debt to the maximum capability of at least eighty percent </w:t>
      </w:r>
      <w:r w:rsidR="00F125D2" w:rsidRPr="00CF18A9">
        <w:t>of capital</w:t>
      </w:r>
      <w:r w:rsidRPr="00CF18A9">
        <w:t xml:space="preserve"> outlay, and local and state FSPK</w:t>
      </w:r>
      <w:r w:rsidR="00F125D2">
        <w:t>.</w:t>
      </w:r>
      <w:r w:rsidRPr="00CF18A9">
        <w:t xml:space="preserve"> </w:t>
      </w:r>
    </w:p>
    <w:p w14:paraId="59F1C015" w14:textId="77777777" w:rsidR="00CF18A9" w:rsidRPr="00CF18A9" w:rsidRDefault="00CF18A9" w:rsidP="00BE1D8F">
      <w:pPr>
        <w:numPr>
          <w:ilvl w:val="1"/>
          <w:numId w:val="3"/>
        </w:numPr>
      </w:pPr>
      <w:r w:rsidRPr="00CF18A9">
        <w:t>Current student enrollment in excess of available classroom space</w:t>
      </w:r>
      <w:r w:rsidR="00F125D2">
        <w:t>.</w:t>
      </w:r>
      <w:r w:rsidRPr="00CF18A9">
        <w:t xml:space="preserve"> </w:t>
      </w:r>
    </w:p>
    <w:p w14:paraId="2A62D3DA" w14:textId="77777777" w:rsidR="00BE1D8F" w:rsidRDefault="00CF18A9" w:rsidP="00BE1D8F">
      <w:pPr>
        <w:numPr>
          <w:ilvl w:val="1"/>
          <w:numId w:val="3"/>
        </w:numPr>
      </w:pPr>
      <w:r w:rsidRPr="00CF18A9">
        <w:lastRenderedPageBreak/>
        <w:t xml:space="preserve">A local school facility plan that has been approved by the Kentucky Board of Education and certified to the School Facilities Construction Commission. </w:t>
      </w:r>
    </w:p>
    <w:p w14:paraId="2C660D17" w14:textId="77777777" w:rsidR="00CF18A9" w:rsidRDefault="00FA0C6F" w:rsidP="00CF18A9">
      <w:pPr>
        <w:numPr>
          <w:ilvl w:val="0"/>
          <w:numId w:val="4"/>
        </w:numPr>
      </w:pPr>
      <w:r>
        <w:t>P</w:t>
      </w:r>
      <w:r w:rsidR="00CF18A9" w:rsidRPr="00CF18A9">
        <w:t>ublic hearing</w:t>
      </w:r>
      <w:r>
        <w:t xml:space="preserve"> required</w:t>
      </w:r>
      <w:r w:rsidR="00CF18A9" w:rsidRPr="00CF18A9">
        <w:t xml:space="preserve"> </w:t>
      </w:r>
      <w:r>
        <w:t>prior to</w:t>
      </w:r>
      <w:r w:rsidR="00CF18A9" w:rsidRPr="00CF18A9">
        <w:t xml:space="preserve"> levying the nickel</w:t>
      </w:r>
      <w:r w:rsidR="00F038F5">
        <w:t>.</w:t>
      </w:r>
    </w:p>
    <w:p w14:paraId="6210FC5A" w14:textId="77777777" w:rsidR="001F39AB" w:rsidRDefault="00CF18A9" w:rsidP="00CF18A9">
      <w:pPr>
        <w:numPr>
          <w:ilvl w:val="0"/>
          <w:numId w:val="4"/>
        </w:numPr>
      </w:pPr>
      <w:r w:rsidRPr="00CF18A9">
        <w:t>The legislation for the growth nickel included a sunset provision once full funding of the FSPK nickel was restored.  Although the FSPK has been fully restored since 1996, the General Assembly has continued to allow for the growth nickel through budget language.</w:t>
      </w:r>
    </w:p>
    <w:p w14:paraId="40ADF019" w14:textId="77777777" w:rsidR="007242D9" w:rsidRDefault="007242D9" w:rsidP="006C5F7D">
      <w:pPr>
        <w:rPr>
          <w:b/>
          <w:sz w:val="28"/>
          <w:szCs w:val="28"/>
        </w:rPr>
      </w:pPr>
    </w:p>
    <w:p w14:paraId="6BE0BC08" w14:textId="77777777" w:rsidR="006C5F7D" w:rsidRDefault="006C5F7D" w:rsidP="006C5F7D">
      <w:pPr>
        <w:rPr>
          <w:b/>
          <w:sz w:val="28"/>
          <w:szCs w:val="28"/>
        </w:rPr>
      </w:pPr>
      <w:r w:rsidRPr="006C5F7D">
        <w:rPr>
          <w:b/>
          <w:sz w:val="28"/>
          <w:szCs w:val="28"/>
        </w:rPr>
        <w:t xml:space="preserve">Second Growth Nickel/Equalized Growth Nickel Facts: </w:t>
      </w:r>
    </w:p>
    <w:p w14:paraId="279A6DA7" w14:textId="77777777" w:rsidR="008148C9" w:rsidRDefault="008148C9" w:rsidP="006C5F7D">
      <w:pPr>
        <w:numPr>
          <w:ilvl w:val="0"/>
          <w:numId w:val="9"/>
        </w:numPr>
      </w:pPr>
      <w:r>
        <w:t xml:space="preserve">Second Growth Nickel was </w:t>
      </w:r>
      <w:r w:rsidR="00AF39DD">
        <w:t>provided</w:t>
      </w:r>
      <w:r>
        <w:t xml:space="preserve"> in 2003 and 2005 t</w:t>
      </w:r>
      <w:r w:rsidR="006C5F7D">
        <w:t>hrough budget language</w:t>
      </w:r>
      <w:r>
        <w:t>.</w:t>
      </w:r>
    </w:p>
    <w:p w14:paraId="6A6D6520" w14:textId="77777777" w:rsidR="006C5F7D" w:rsidRDefault="008148C9" w:rsidP="006C5F7D">
      <w:pPr>
        <w:numPr>
          <w:ilvl w:val="0"/>
          <w:numId w:val="9"/>
        </w:numPr>
      </w:pPr>
      <w:r>
        <w:t>D</w:t>
      </w:r>
      <w:r w:rsidR="006C5F7D">
        <w:t>istricts that continued to meet the growth criteria were given the option to levy a second growth nickel.</w:t>
      </w:r>
    </w:p>
    <w:p w14:paraId="01CD6514" w14:textId="77777777" w:rsidR="006C5F7D" w:rsidRDefault="006C5F7D" w:rsidP="006C5F7D">
      <w:pPr>
        <w:numPr>
          <w:ilvl w:val="0"/>
          <w:numId w:val="9"/>
        </w:numPr>
      </w:pPr>
      <w:r>
        <w:t>This nickel is referred to as the equalized growth nickel because the General Assembly provided an additional equalization funding for those districts that levied both the original nickel and second growth nickel.</w:t>
      </w:r>
    </w:p>
    <w:p w14:paraId="3FAB6BAF" w14:textId="77777777" w:rsidR="00815A4C" w:rsidRDefault="00815A4C" w:rsidP="00815A4C">
      <w:pPr>
        <w:numPr>
          <w:ilvl w:val="0"/>
          <w:numId w:val="9"/>
        </w:numPr>
      </w:pPr>
      <w:r w:rsidRPr="00815A4C">
        <w:t xml:space="preserve">Prior to </w:t>
      </w:r>
      <w:r w:rsidR="00F125D2">
        <w:t>April 28, 2008</w:t>
      </w:r>
      <w:r w:rsidRPr="00815A4C">
        <w:t xml:space="preserve"> local school districts that have experienced student population growth during a five year period m</w:t>
      </w:r>
      <w:r w:rsidR="00FA0C6F">
        <w:t>ay levy an additional five cent</w:t>
      </w:r>
      <w:r w:rsidRPr="00815A4C">
        <w:t xml:space="preserve"> equivalent rate for debt service and new facilities.</w:t>
      </w:r>
    </w:p>
    <w:p w14:paraId="2E4EF3FE" w14:textId="77777777" w:rsidR="006C5F7D" w:rsidRDefault="006C5F7D" w:rsidP="006C5F7D">
      <w:pPr>
        <w:numPr>
          <w:ilvl w:val="0"/>
          <w:numId w:val="9"/>
        </w:numPr>
      </w:pPr>
      <w:r>
        <w:t xml:space="preserve">Levied by districts that meet criteria of a growth district </w:t>
      </w:r>
      <w:r w:rsidR="00FA0C6F">
        <w:t>(as outlined</w:t>
      </w:r>
      <w:r w:rsidR="002A30BD">
        <w:t xml:space="preserve"> in the growth nickel facts section</w:t>
      </w:r>
      <w:r w:rsidR="00FA0C6F">
        <w:t>)</w:t>
      </w:r>
      <w:r w:rsidR="00F038F5">
        <w:t>.</w:t>
      </w:r>
    </w:p>
    <w:p w14:paraId="25F31278" w14:textId="77777777" w:rsidR="006C5F7D" w:rsidRPr="00FA0C6F" w:rsidRDefault="006C5F7D" w:rsidP="006C5F7D">
      <w:pPr>
        <w:numPr>
          <w:ilvl w:val="0"/>
          <w:numId w:val="9"/>
        </w:numPr>
      </w:pPr>
      <w:r w:rsidRPr="00FA0C6F">
        <w:t>N</w:t>
      </w:r>
      <w:r w:rsidR="00815A4C" w:rsidRPr="00FA0C6F">
        <w:t>ickel n</w:t>
      </w:r>
      <w:r w:rsidRPr="00FA0C6F">
        <w:t>ot subject to recall.</w:t>
      </w:r>
    </w:p>
    <w:p w14:paraId="79184C19" w14:textId="77777777" w:rsidR="00A2651E" w:rsidRDefault="00A2651E" w:rsidP="006C5F7D">
      <w:pPr>
        <w:numPr>
          <w:ilvl w:val="0"/>
          <w:numId w:val="9"/>
        </w:numPr>
      </w:pPr>
      <w:r w:rsidRPr="00FA0C6F">
        <w:t xml:space="preserve">House Bill 704 (2008/2009) incorporated into KRS 157.621 equalization for the second growth nickel. </w:t>
      </w:r>
    </w:p>
    <w:p w14:paraId="342C585D" w14:textId="77777777" w:rsidR="00B21E72" w:rsidRDefault="00531DFB" w:rsidP="005A5C5B">
      <w:pPr>
        <w:numPr>
          <w:ilvl w:val="0"/>
          <w:numId w:val="10"/>
        </w:numPr>
      </w:pPr>
      <w:r>
        <w:t>House Bill 1 (</w:t>
      </w:r>
      <w:r w:rsidR="009E2181">
        <w:t>2022</w:t>
      </w:r>
      <w:r w:rsidR="009926C8">
        <w:t xml:space="preserve"> Regular Session</w:t>
      </w:r>
      <w:r w:rsidR="009E2181">
        <w:t xml:space="preserve">) </w:t>
      </w:r>
      <w:r w:rsidR="009926C8">
        <w:t>shall receive full calculated equalization un</w:t>
      </w:r>
      <w:r w:rsidR="00017C45">
        <w:t xml:space="preserve">til </w:t>
      </w:r>
      <w:r w:rsidR="009E2181" w:rsidRPr="00416C21">
        <w:t xml:space="preserve">the earlier of </w:t>
      </w:r>
      <w:r w:rsidR="008D3A2B">
        <w:t>20 years of the effective date of this Act, or the date the bonds for the local school districts supported by this equalization are retired, in accordance with KRS 157.621(2)</w:t>
      </w:r>
      <w:r w:rsidR="00B21E72">
        <w:t xml:space="preserve"> is in place for the Second Growth Nickel at this time.</w:t>
      </w:r>
    </w:p>
    <w:p w14:paraId="2446B63D" w14:textId="77777777" w:rsidR="00A2651E" w:rsidRDefault="00A2651E" w:rsidP="00A2651E"/>
    <w:p w14:paraId="47C9FC74" w14:textId="77777777" w:rsidR="009250A7" w:rsidRDefault="009250A7" w:rsidP="00A2651E"/>
    <w:p w14:paraId="2AE6D41F" w14:textId="77777777" w:rsidR="009250A7" w:rsidRPr="001A3F99" w:rsidRDefault="001A3F99" w:rsidP="00A2651E">
      <w:pPr>
        <w:rPr>
          <w:color w:val="FFFFFF" w:themeColor="background1"/>
        </w:rPr>
      </w:pPr>
      <w:r w:rsidRPr="001A3F99">
        <w:rPr>
          <w:color w:val="FFFFFF" w:themeColor="background1"/>
        </w:rPr>
        <w:t>Blank</w:t>
      </w:r>
    </w:p>
    <w:p w14:paraId="746464E7" w14:textId="77777777" w:rsidR="001A3F99" w:rsidRPr="001A3F99" w:rsidRDefault="001A3F99" w:rsidP="001A3F99">
      <w:pPr>
        <w:rPr>
          <w:color w:val="FFFFFF" w:themeColor="background1"/>
        </w:rPr>
      </w:pPr>
      <w:r w:rsidRPr="001A3F99">
        <w:rPr>
          <w:color w:val="FFFFFF" w:themeColor="background1"/>
        </w:rPr>
        <w:t>Blank</w:t>
      </w:r>
    </w:p>
    <w:p w14:paraId="4A7FE23C" w14:textId="77777777" w:rsidR="001A3F99" w:rsidRPr="001A3F99" w:rsidRDefault="001A3F99" w:rsidP="001A3F99">
      <w:pPr>
        <w:rPr>
          <w:color w:val="FFFFFF" w:themeColor="background1"/>
        </w:rPr>
      </w:pPr>
      <w:r w:rsidRPr="001A3F99">
        <w:rPr>
          <w:color w:val="FFFFFF" w:themeColor="background1"/>
        </w:rPr>
        <w:lastRenderedPageBreak/>
        <w:t>Blank</w:t>
      </w:r>
    </w:p>
    <w:p w14:paraId="2716FC6D" w14:textId="77777777" w:rsidR="00A2651E" w:rsidRDefault="00A2651E" w:rsidP="00A2651E">
      <w:pPr>
        <w:rPr>
          <w:b/>
          <w:sz w:val="28"/>
          <w:szCs w:val="28"/>
        </w:rPr>
      </w:pPr>
      <w:r>
        <w:rPr>
          <w:b/>
          <w:sz w:val="28"/>
          <w:szCs w:val="28"/>
        </w:rPr>
        <w:t xml:space="preserve">Recallable Nickel/Retroactive Equalized Facility Funding Facts: </w:t>
      </w:r>
    </w:p>
    <w:p w14:paraId="37DEB944" w14:textId="77777777" w:rsidR="00AF39DD" w:rsidRDefault="00AF39DD" w:rsidP="00921A94">
      <w:pPr>
        <w:numPr>
          <w:ilvl w:val="0"/>
          <w:numId w:val="10"/>
        </w:numPr>
      </w:pPr>
      <w:r>
        <w:t>Recallable Nickel was p</w:t>
      </w:r>
      <w:r w:rsidR="007F31E4">
        <w:t>ro</w:t>
      </w:r>
      <w:r w:rsidR="005F7F9B">
        <w:t>vided through budget language since 2003 biennial budget bills.</w:t>
      </w:r>
    </w:p>
    <w:p w14:paraId="76762D1B" w14:textId="77777777" w:rsidR="007F31E4" w:rsidRDefault="00AF39DD" w:rsidP="00921A94">
      <w:pPr>
        <w:numPr>
          <w:ilvl w:val="0"/>
          <w:numId w:val="10"/>
        </w:numPr>
      </w:pPr>
      <w:r>
        <w:t>T</w:t>
      </w:r>
      <w:r w:rsidR="007F31E4">
        <w:t xml:space="preserve">he General Assembly allowed all districts the opportunity to levy a nickel for building needs that was subject to recall via public petitions. </w:t>
      </w:r>
    </w:p>
    <w:p w14:paraId="2EAD68FC" w14:textId="77777777" w:rsidR="007F31E4" w:rsidRDefault="007F31E4" w:rsidP="007F31E4">
      <w:pPr>
        <w:numPr>
          <w:ilvl w:val="0"/>
          <w:numId w:val="10"/>
        </w:numPr>
      </w:pPr>
      <w:r>
        <w:t xml:space="preserve">House Bill 380 (2006) uses language stating in or prior to </w:t>
      </w:r>
      <w:r w:rsidR="00AF39DD">
        <w:t>20</w:t>
      </w:r>
      <w:r>
        <w:t>03-</w:t>
      </w:r>
      <w:r w:rsidR="00AF39DD">
        <w:t>20</w:t>
      </w:r>
      <w:r>
        <w:t>04 qualifies for equalization.</w:t>
      </w:r>
    </w:p>
    <w:p w14:paraId="4DA14EE8" w14:textId="77777777" w:rsidR="007F31E4" w:rsidRDefault="007F31E4" w:rsidP="007F31E4">
      <w:pPr>
        <w:numPr>
          <w:ilvl w:val="0"/>
          <w:numId w:val="10"/>
        </w:numPr>
      </w:pPr>
      <w:r>
        <w:t>House Bill 557 (2006) allows equalization for districts levying prior to January 1, 2006.</w:t>
      </w:r>
    </w:p>
    <w:p w14:paraId="405CFF6F" w14:textId="77777777" w:rsidR="007F31E4" w:rsidRDefault="007F31E4" w:rsidP="007F31E4">
      <w:pPr>
        <w:numPr>
          <w:ilvl w:val="0"/>
          <w:numId w:val="10"/>
        </w:numPr>
      </w:pPr>
      <w:r>
        <w:t xml:space="preserve">House Bill 406 (2008) allows equalization for districts levying prior to January 1, 2008. For districts who levied a tax rate subject to recall after June 30, 2007, equalization will be at </w:t>
      </w:r>
      <w:r w:rsidR="00F125D2">
        <w:t>twenty five percent</w:t>
      </w:r>
      <w:r>
        <w:t xml:space="preserve"> in the 2008-2009 fiscal year and </w:t>
      </w:r>
      <w:r w:rsidR="00F125D2">
        <w:t>fifty percent</w:t>
      </w:r>
      <w:r>
        <w:t xml:space="preserve"> in the 2009-2010 fiscal year. </w:t>
      </w:r>
    </w:p>
    <w:p w14:paraId="4AC02768" w14:textId="77777777" w:rsidR="00C55F20" w:rsidRDefault="00C55F20" w:rsidP="00C55F20">
      <w:pPr>
        <w:numPr>
          <w:ilvl w:val="0"/>
          <w:numId w:val="10"/>
        </w:numPr>
      </w:pPr>
      <w:r>
        <w:t xml:space="preserve">House Bill </w:t>
      </w:r>
      <w:r w:rsidR="00135F48">
        <w:t xml:space="preserve">265 </w:t>
      </w:r>
      <w:r>
        <w:t>(2012</w:t>
      </w:r>
      <w:r w:rsidR="00135F48">
        <w:t>) allows</w:t>
      </w:r>
      <w:r>
        <w:t xml:space="preserve"> equalization for districts levying prior to January 1, 2010.  For districts who levied a tax rate subject to recall in 2010-2011, they may receive </w:t>
      </w:r>
      <w:r w:rsidR="00F125D2">
        <w:t>twenty five percent</w:t>
      </w:r>
      <w:r>
        <w:t xml:space="preserve"> of the equalization in 2012.</w:t>
      </w:r>
    </w:p>
    <w:p w14:paraId="48B491B4" w14:textId="77777777" w:rsidR="00416C21" w:rsidRDefault="00C55F20" w:rsidP="00416C21">
      <w:pPr>
        <w:numPr>
          <w:ilvl w:val="0"/>
          <w:numId w:val="10"/>
        </w:numPr>
      </w:pPr>
      <w:r>
        <w:t>It was noted that it is the intent of the legislature that any school district receiving partial equalization in the 2010-2012 fiscal biennium shall receive full calculated equalization in the 2012-2014 fiscal biennium and thereafter.</w:t>
      </w:r>
    </w:p>
    <w:p w14:paraId="524686D3" w14:textId="77777777" w:rsidR="00921A94" w:rsidRDefault="00693752" w:rsidP="00813030">
      <w:pPr>
        <w:numPr>
          <w:ilvl w:val="0"/>
          <w:numId w:val="10"/>
        </w:numPr>
      </w:pPr>
      <w:r w:rsidRPr="00416C21">
        <w:t xml:space="preserve">HB </w:t>
      </w:r>
      <w:r w:rsidR="00416C21">
        <w:t>200 (2018</w:t>
      </w:r>
      <w:r w:rsidRPr="00416C21">
        <w:t xml:space="preserve"> Regular Session) </w:t>
      </w:r>
      <w:r w:rsidR="0003411B" w:rsidRPr="00416C21">
        <w:t>sunsets equalization upon the earlier of June 30, 2038 or the date the local bonds supported by this equalization are retired.</w:t>
      </w:r>
    </w:p>
    <w:p w14:paraId="76AF1DB9" w14:textId="77777777" w:rsidR="003E37A9" w:rsidRDefault="003E37A9" w:rsidP="00F1578D">
      <w:pPr>
        <w:numPr>
          <w:ilvl w:val="0"/>
          <w:numId w:val="10"/>
        </w:numPr>
      </w:pPr>
      <w:r>
        <w:t>HB 352 (2020</w:t>
      </w:r>
      <w:r w:rsidR="0034714B">
        <w:t xml:space="preserve"> Regular Session)</w:t>
      </w:r>
      <w:r w:rsidR="005A46DC" w:rsidRPr="005A46DC">
        <w:t xml:space="preserve"> </w:t>
      </w:r>
      <w:r w:rsidR="005A46DC">
        <w:t xml:space="preserve">allows equalization for districts levying prior to January 1, 2018, shall be equalized at 100 percent of the calculated equalization funding. For districts who levied a tax rate subject to recall after </w:t>
      </w:r>
      <w:r w:rsidR="0038098B">
        <w:t>January 1, 2018 and before January 1, 2020</w:t>
      </w:r>
      <w:r w:rsidR="005A46DC">
        <w:t>,</w:t>
      </w:r>
      <w:r w:rsidR="005718D3">
        <w:t xml:space="preserve"> shall be</w:t>
      </w:r>
      <w:r w:rsidR="005A46DC">
        <w:t xml:space="preserve"> </w:t>
      </w:r>
      <w:r w:rsidR="005718D3">
        <w:t>equalized at 25 percent of the calculated equalization funding</w:t>
      </w:r>
      <w:r w:rsidR="003171BA">
        <w:t xml:space="preserve"> in fiscal year 2021-22, and shall receive full calculated equalization funding in the 2022-2024 fiscal biennium and thereafter until the earlier of June 30, 2038, or the date the bonds for the local </w:t>
      </w:r>
      <w:r w:rsidR="00F1578D">
        <w:t>school district is retired.</w:t>
      </w:r>
    </w:p>
    <w:p w14:paraId="37143094" w14:textId="77777777" w:rsidR="00445E34" w:rsidRDefault="003E37A9" w:rsidP="00921A94">
      <w:pPr>
        <w:numPr>
          <w:ilvl w:val="0"/>
          <w:numId w:val="10"/>
        </w:numPr>
        <w:rPr>
          <w:color w:val="FFFFFF" w:themeColor="background1"/>
        </w:rPr>
      </w:pPr>
      <w:r>
        <w:t>HB 1 (2022 Regular Session)</w:t>
      </w:r>
      <w:r w:rsidR="00F1578D">
        <w:t xml:space="preserve"> allows equalization for districts levying prior to January 1, </w:t>
      </w:r>
      <w:r w:rsidR="00434B76">
        <w:t>2021</w:t>
      </w:r>
      <w:r w:rsidR="00F1578D">
        <w:t xml:space="preserve">, shall be equalized at 100 percent of the calculated equalization funding. For districts who levied a tax rate subject to recall after </w:t>
      </w:r>
      <w:r w:rsidR="00AA0899">
        <w:t>January 1, 2021 and before January 30</w:t>
      </w:r>
      <w:r w:rsidR="00F1578D">
        <w:t>, 202</w:t>
      </w:r>
      <w:r w:rsidR="00AA0899">
        <w:t>2</w:t>
      </w:r>
      <w:r w:rsidR="00F1578D">
        <w:t>, shall be equalized at 25 percent of the calculated equalization funding in fiscal year 202</w:t>
      </w:r>
      <w:r w:rsidR="00AA0899">
        <w:t>2-24</w:t>
      </w:r>
      <w:r w:rsidR="00F1578D">
        <w:t>, and shall receive full calculated equalization funding in the 202</w:t>
      </w:r>
      <w:r w:rsidR="009335DF">
        <w:t>4</w:t>
      </w:r>
      <w:r w:rsidR="00F1578D">
        <w:t>-202</w:t>
      </w:r>
      <w:r w:rsidR="009335DF">
        <w:t>6</w:t>
      </w:r>
      <w:r w:rsidR="00F1578D">
        <w:t xml:space="preserve"> fiscal biennium and thereafter until the earlier of </w:t>
      </w:r>
      <w:r w:rsidR="009335DF">
        <w:t>20 years</w:t>
      </w:r>
      <w:r w:rsidR="00F1578D">
        <w:t>, or the date the bonds for the local school district</w:t>
      </w:r>
      <w:r w:rsidR="00445E34">
        <w:t xml:space="preserve"> is retired.</w:t>
      </w:r>
    </w:p>
    <w:p w14:paraId="1DA7A436" w14:textId="77777777" w:rsidR="00C55F20" w:rsidRDefault="00921A94" w:rsidP="00921A94">
      <w:pPr>
        <w:rPr>
          <w:b/>
          <w:sz w:val="28"/>
          <w:szCs w:val="28"/>
        </w:rPr>
      </w:pPr>
      <w:r w:rsidRPr="00921A94">
        <w:rPr>
          <w:b/>
          <w:sz w:val="28"/>
          <w:szCs w:val="28"/>
        </w:rPr>
        <w:lastRenderedPageBreak/>
        <w:t>Equal</w:t>
      </w:r>
      <w:r>
        <w:rPr>
          <w:b/>
          <w:sz w:val="28"/>
          <w:szCs w:val="28"/>
        </w:rPr>
        <w:t xml:space="preserve">ized Facility Funding Nickel Facts: </w:t>
      </w:r>
    </w:p>
    <w:p w14:paraId="43536949" w14:textId="77777777" w:rsidR="007B4DC0" w:rsidRDefault="007B4DC0" w:rsidP="00226D63">
      <w:pPr>
        <w:numPr>
          <w:ilvl w:val="0"/>
          <w:numId w:val="12"/>
        </w:numPr>
      </w:pPr>
      <w:r>
        <w:t>Equalized Facility Funding Nickel was enacted through House Bill 267 in 2005.</w:t>
      </w:r>
    </w:p>
    <w:p w14:paraId="71FADBCD" w14:textId="77777777" w:rsidR="00226D63" w:rsidRDefault="00226D63" w:rsidP="00226D63">
      <w:pPr>
        <w:numPr>
          <w:ilvl w:val="0"/>
          <w:numId w:val="12"/>
        </w:numPr>
      </w:pPr>
      <w:r>
        <w:t>During the 2005 Session</w:t>
      </w:r>
      <w:r w:rsidRPr="00226D63">
        <w:t xml:space="preserve"> </w:t>
      </w:r>
      <w:r>
        <w:t>eligible districts must meet the following criteria:</w:t>
      </w:r>
    </w:p>
    <w:p w14:paraId="3FCF2FD9" w14:textId="77777777" w:rsidR="00226D63" w:rsidRDefault="00226D63" w:rsidP="00C62727">
      <w:pPr>
        <w:numPr>
          <w:ilvl w:val="0"/>
          <w:numId w:val="13"/>
        </w:numPr>
      </w:pPr>
      <w:r>
        <w:t>At least ten-cent equivalent rate for buildings or debt service of ten-cent equivalent as of Feb 24, 2005.</w:t>
      </w:r>
    </w:p>
    <w:p w14:paraId="0A6B72B9" w14:textId="77777777" w:rsidR="00226D63" w:rsidRDefault="00226D63" w:rsidP="00226D63">
      <w:pPr>
        <w:numPr>
          <w:ilvl w:val="0"/>
          <w:numId w:val="13"/>
        </w:numPr>
      </w:pPr>
      <w:r>
        <w:t>Have not received equalized growth.</w:t>
      </w:r>
    </w:p>
    <w:p w14:paraId="571CE358" w14:textId="77777777" w:rsidR="00226D63" w:rsidRDefault="00FA0C6F" w:rsidP="00226D63">
      <w:pPr>
        <w:numPr>
          <w:ilvl w:val="0"/>
          <w:numId w:val="13"/>
        </w:numPr>
      </w:pPr>
      <w:r>
        <w:t>Have n</w:t>
      </w:r>
      <w:r w:rsidR="00226D63">
        <w:t>ot received retroactive facility funding (recallable)</w:t>
      </w:r>
      <w:r w:rsidR="00F038F5">
        <w:t>.</w:t>
      </w:r>
    </w:p>
    <w:p w14:paraId="0A4A9365" w14:textId="77777777" w:rsidR="00226D63" w:rsidRDefault="00FA0C6F" w:rsidP="00226D63">
      <w:pPr>
        <w:numPr>
          <w:ilvl w:val="0"/>
          <w:numId w:val="13"/>
        </w:numPr>
      </w:pPr>
      <w:r>
        <w:t>Has r</w:t>
      </w:r>
      <w:r w:rsidR="00226D63">
        <w:t>eceived approval by commissioner.</w:t>
      </w:r>
    </w:p>
    <w:p w14:paraId="6A0536CC" w14:textId="77777777" w:rsidR="00226D63" w:rsidRDefault="00226D63" w:rsidP="00226D63">
      <w:pPr>
        <w:numPr>
          <w:ilvl w:val="0"/>
          <w:numId w:val="12"/>
        </w:numPr>
      </w:pPr>
      <w:r>
        <w:t>During the 2006 Session criteria changed.</w:t>
      </w:r>
    </w:p>
    <w:p w14:paraId="65141749" w14:textId="77777777" w:rsidR="00226D63" w:rsidRDefault="00C87FE7" w:rsidP="00C62727">
      <w:pPr>
        <w:ind w:left="1440"/>
      </w:pPr>
      <w:r>
        <w:t>‘</w:t>
      </w:r>
      <w:r w:rsidR="00226D63">
        <w:t>a</w:t>
      </w:r>
      <w:r>
        <w:t>’</w:t>
      </w:r>
      <w:r w:rsidR="00226D63">
        <w:t>,</w:t>
      </w:r>
      <w:r>
        <w:t>’</w:t>
      </w:r>
      <w:r w:rsidR="00226D63">
        <w:t xml:space="preserve"> b</w:t>
      </w:r>
      <w:r>
        <w:t>’</w:t>
      </w:r>
      <w:r w:rsidR="00226D63">
        <w:t xml:space="preserve">, and </w:t>
      </w:r>
      <w:r>
        <w:t>‘</w:t>
      </w:r>
      <w:r w:rsidR="00226D63">
        <w:t>d</w:t>
      </w:r>
      <w:r>
        <w:t>’</w:t>
      </w:r>
      <w:r w:rsidR="00226D63">
        <w:t xml:space="preserve"> are the same. House</w:t>
      </w:r>
      <w:r>
        <w:t xml:space="preserve"> Bill 380 does not include the ‘c’</w:t>
      </w:r>
      <w:r w:rsidR="00226D63">
        <w:t xml:space="preserve"> requirement, “not received retroactive facility funding (recallable)”. The list of districts that were included as of February 24, 2005 will always be equalized whether they levy nickel or not</w:t>
      </w:r>
      <w:r w:rsidR="00FA0C6F">
        <w:t>, unless the language in the budget bill changes.</w:t>
      </w:r>
    </w:p>
    <w:p w14:paraId="4ECE29EE" w14:textId="77777777" w:rsidR="00135F48" w:rsidRDefault="00226D63" w:rsidP="00226D63">
      <w:pPr>
        <w:numPr>
          <w:ilvl w:val="0"/>
          <w:numId w:val="12"/>
        </w:numPr>
      </w:pPr>
      <w:r>
        <w:t xml:space="preserve">In the 2008-2010 Biennium Budget, the same requirements are listed, including ‘c’ from above. </w:t>
      </w:r>
    </w:p>
    <w:p w14:paraId="562B6434" w14:textId="77777777" w:rsidR="009250A7" w:rsidRDefault="00662C3A" w:rsidP="00135F48">
      <w:pPr>
        <w:numPr>
          <w:ilvl w:val="0"/>
          <w:numId w:val="12"/>
        </w:numPr>
        <w:rPr>
          <w:b/>
          <w:sz w:val="28"/>
          <w:szCs w:val="28"/>
        </w:rPr>
      </w:pPr>
      <w:r>
        <w:t xml:space="preserve">HB 1 (2022) updated the </w:t>
      </w:r>
      <w:r w:rsidR="00B21E72">
        <w:t>EFF sunset provision</w:t>
      </w:r>
      <w:r>
        <w:t xml:space="preserve"> to state</w:t>
      </w:r>
      <w:r w:rsidR="001A4E81">
        <w:t>,</w:t>
      </w:r>
      <w:r w:rsidR="00B21E72">
        <w:t xml:space="preserve"> </w:t>
      </w:r>
      <w:r w:rsidR="00B21E72" w:rsidRPr="00B21E72">
        <w:t xml:space="preserve">earlier of </w:t>
      </w:r>
      <w:r w:rsidR="001A4E81">
        <w:t>20 years of the effective date of this Act, or the date the bonds</w:t>
      </w:r>
      <w:r w:rsidR="00B21E72" w:rsidRPr="00B21E72">
        <w:t xml:space="preserve"> for the local school district supported by this equalization funding are retired</w:t>
      </w:r>
      <w:r w:rsidR="009250A7">
        <w:t>.</w:t>
      </w:r>
    </w:p>
    <w:p w14:paraId="59B00970" w14:textId="77777777" w:rsidR="00444D4A" w:rsidRDefault="00444D4A" w:rsidP="00135F48">
      <w:pPr>
        <w:rPr>
          <w:b/>
          <w:sz w:val="28"/>
          <w:szCs w:val="28"/>
        </w:rPr>
      </w:pPr>
    </w:p>
    <w:p w14:paraId="5166F2C4" w14:textId="77777777" w:rsidR="00135F48" w:rsidRDefault="00135F48" w:rsidP="00135F48">
      <w:pPr>
        <w:rPr>
          <w:b/>
          <w:sz w:val="28"/>
          <w:szCs w:val="28"/>
        </w:rPr>
      </w:pPr>
      <w:r w:rsidRPr="00135F48">
        <w:rPr>
          <w:b/>
          <w:sz w:val="28"/>
          <w:szCs w:val="28"/>
        </w:rPr>
        <w:t xml:space="preserve">Base Realignment and Closure (BRAC) Nickel Facts: </w:t>
      </w:r>
    </w:p>
    <w:p w14:paraId="757C2450" w14:textId="77777777" w:rsidR="007B4DC0" w:rsidRDefault="007B4DC0" w:rsidP="00390BE4">
      <w:pPr>
        <w:numPr>
          <w:ilvl w:val="0"/>
          <w:numId w:val="12"/>
        </w:numPr>
      </w:pPr>
      <w:r>
        <w:t>BRAC Nickel was enacted through House Bill 704 in 2008.</w:t>
      </w:r>
    </w:p>
    <w:p w14:paraId="368A0C78" w14:textId="77777777" w:rsidR="00390BE4" w:rsidRDefault="00390BE4" w:rsidP="00390BE4">
      <w:pPr>
        <w:numPr>
          <w:ilvl w:val="0"/>
          <w:numId w:val="12"/>
        </w:numPr>
      </w:pPr>
      <w:r>
        <w:t>A local district that meets certain conditions may levy an additional five cents after th</w:t>
      </w:r>
      <w:r w:rsidR="006D7FF0">
        <w:t xml:space="preserve">e effective date of this act if: </w:t>
      </w:r>
    </w:p>
    <w:p w14:paraId="690D37B9" w14:textId="77777777" w:rsidR="00390BE4" w:rsidRDefault="00390BE4" w:rsidP="00390BE4">
      <w:pPr>
        <w:numPr>
          <w:ilvl w:val="0"/>
          <w:numId w:val="15"/>
        </w:numPr>
      </w:pPr>
      <w:r>
        <w:t>The local school district is located in a county that will have more students as a direct result of the new mission established for Ft. Knox by the Base Realignment and Closure (BRAC) in 2005.</w:t>
      </w:r>
    </w:p>
    <w:p w14:paraId="3B1FB622" w14:textId="77777777" w:rsidR="00390BE4" w:rsidRDefault="00390BE4" w:rsidP="00390BE4">
      <w:pPr>
        <w:numPr>
          <w:ilvl w:val="0"/>
          <w:numId w:val="15"/>
        </w:numPr>
      </w:pPr>
      <w:r>
        <w:t>The Commissioner of Education has determined that the projected increased number of students is sufficient to require new facilities or the major renovation of existing facilities and has approved the imposition of the additional levy.</w:t>
      </w:r>
    </w:p>
    <w:p w14:paraId="4A9B0ED7" w14:textId="77777777" w:rsidR="00390BE4" w:rsidRDefault="00390BE4" w:rsidP="00390BE4">
      <w:pPr>
        <w:numPr>
          <w:ilvl w:val="0"/>
          <w:numId w:val="12"/>
        </w:numPr>
      </w:pPr>
      <w:r>
        <w:lastRenderedPageBreak/>
        <w:t>If a district that imposes the BRAC nickel has not received equalization on the first or second growth nickel, then the BRAC nickel would be equalized, pending General A</w:t>
      </w:r>
      <w:r w:rsidR="00C30458">
        <w:t>ssembly funding.</w:t>
      </w:r>
    </w:p>
    <w:p w14:paraId="39953BCD" w14:textId="77777777" w:rsidR="00B843B7" w:rsidRPr="00203586" w:rsidRDefault="00B843B7" w:rsidP="00203586">
      <w:pPr>
        <w:rPr>
          <w:color w:val="FFFFFF" w:themeColor="background1"/>
        </w:rPr>
      </w:pPr>
    </w:p>
    <w:p w14:paraId="2D23FE51" w14:textId="77777777" w:rsidR="00135F48" w:rsidRDefault="00135F48" w:rsidP="00135F48">
      <w:pPr>
        <w:rPr>
          <w:b/>
          <w:sz w:val="28"/>
          <w:szCs w:val="28"/>
        </w:rPr>
      </w:pPr>
      <w:r w:rsidRPr="00135F48">
        <w:rPr>
          <w:b/>
          <w:sz w:val="28"/>
          <w:szCs w:val="28"/>
        </w:rPr>
        <w:t>Category 5 Nickel</w:t>
      </w:r>
      <w:r>
        <w:rPr>
          <w:b/>
          <w:sz w:val="28"/>
          <w:szCs w:val="28"/>
        </w:rPr>
        <w:t xml:space="preserve"> Facts: </w:t>
      </w:r>
    </w:p>
    <w:p w14:paraId="58E030E8" w14:textId="77777777" w:rsidR="007B4DC0" w:rsidRDefault="007B4DC0" w:rsidP="007B4DC0">
      <w:pPr>
        <w:numPr>
          <w:ilvl w:val="0"/>
          <w:numId w:val="12"/>
        </w:numPr>
      </w:pPr>
      <w:r>
        <w:t>Category 5 Nickel was enacted through Senate Bill 5 (Extraordinary Session) in 2010</w:t>
      </w:r>
      <w:r w:rsidR="00F038F5">
        <w:t>.</w:t>
      </w:r>
    </w:p>
    <w:p w14:paraId="2BC11910" w14:textId="77777777" w:rsidR="002D0918" w:rsidRDefault="007B4DC0" w:rsidP="007B4DC0">
      <w:pPr>
        <w:numPr>
          <w:ilvl w:val="0"/>
          <w:numId w:val="12"/>
        </w:numPr>
      </w:pPr>
      <w:r>
        <w:t>Category 5 refers to the</w:t>
      </w:r>
      <w:r w:rsidR="002D0918">
        <w:t xml:space="preserve"> poorest condition schools upon certification of eligibility by K</w:t>
      </w:r>
      <w:r w:rsidR="00A3432B">
        <w:t>B</w:t>
      </w:r>
      <w:r w:rsidR="002D0918">
        <w:t>E</w:t>
      </w:r>
      <w:r>
        <w:t>, a</w:t>
      </w:r>
      <w:r w:rsidR="002D0918">
        <w:t>lso referred to as Urgent Need School Trust Funds</w:t>
      </w:r>
      <w:r>
        <w:t>.</w:t>
      </w:r>
    </w:p>
    <w:p w14:paraId="29EB3A0E" w14:textId="77777777" w:rsidR="002D0918" w:rsidRDefault="002D0918" w:rsidP="002D0918">
      <w:pPr>
        <w:numPr>
          <w:ilvl w:val="0"/>
          <w:numId w:val="12"/>
        </w:numPr>
      </w:pPr>
      <w:r>
        <w:t>Designed to replace or renovate Category 5 schools</w:t>
      </w:r>
      <w:r w:rsidR="00F038F5">
        <w:t>.</w:t>
      </w:r>
    </w:p>
    <w:p w14:paraId="401EEA40" w14:textId="77777777" w:rsidR="006D7FF0" w:rsidRDefault="006D7FF0" w:rsidP="006D7FF0">
      <w:pPr>
        <w:numPr>
          <w:ilvl w:val="0"/>
          <w:numId w:val="12"/>
        </w:numPr>
      </w:pPr>
      <w:r>
        <w:t>A local district that meets certain conditions may levy the Category 5 nickel for:</w:t>
      </w:r>
    </w:p>
    <w:p w14:paraId="7D0D77CE" w14:textId="77777777" w:rsidR="006D7FF0" w:rsidRDefault="006D7FF0" w:rsidP="006D7FF0">
      <w:pPr>
        <w:numPr>
          <w:ilvl w:val="0"/>
          <w:numId w:val="16"/>
        </w:numPr>
      </w:pPr>
      <w:r>
        <w:t>debt service</w:t>
      </w:r>
    </w:p>
    <w:p w14:paraId="08BA22E2" w14:textId="77777777" w:rsidR="006D7FF0" w:rsidRDefault="006D7FF0" w:rsidP="006D7FF0">
      <w:pPr>
        <w:numPr>
          <w:ilvl w:val="0"/>
          <w:numId w:val="16"/>
        </w:numPr>
      </w:pPr>
      <w:r>
        <w:t>new construction</w:t>
      </w:r>
    </w:p>
    <w:p w14:paraId="67D8F41E" w14:textId="77777777" w:rsidR="00135F48" w:rsidRDefault="006D7FF0" w:rsidP="006D7FF0">
      <w:pPr>
        <w:numPr>
          <w:ilvl w:val="0"/>
          <w:numId w:val="16"/>
        </w:numPr>
      </w:pPr>
      <w:r>
        <w:t>or major renovation</w:t>
      </w:r>
    </w:p>
    <w:p w14:paraId="091A0FB3" w14:textId="77777777" w:rsidR="00FA0C6F" w:rsidRDefault="00FA0C6F" w:rsidP="00FA0C6F">
      <w:pPr>
        <w:numPr>
          <w:ilvl w:val="0"/>
          <w:numId w:val="17"/>
        </w:numPr>
      </w:pPr>
      <w:r>
        <w:t xml:space="preserve">As outlined in KRS 160.470 </w:t>
      </w:r>
      <w:r w:rsidR="00F952BD">
        <w:t xml:space="preserve">districts have two options in choosing to levy Category 5 Nickel: </w:t>
      </w:r>
    </w:p>
    <w:p w14:paraId="47D8EF9D" w14:textId="77777777" w:rsidR="00F952BD" w:rsidRDefault="00F952BD" w:rsidP="00F952BD">
      <w:pPr>
        <w:ind w:left="1440"/>
      </w:pPr>
      <w:r>
        <w:t>Option 1: Levy Category 5 without recall provisions</w:t>
      </w:r>
    </w:p>
    <w:p w14:paraId="686D2C9B" w14:textId="77777777" w:rsidR="00F952BD" w:rsidRDefault="00F952BD" w:rsidP="00F952BD">
      <w:pPr>
        <w:ind w:left="1440"/>
      </w:pPr>
      <w:r>
        <w:t>Option 2: Levy Category 5 with recall provisions</w:t>
      </w:r>
    </w:p>
    <w:p w14:paraId="3F551698" w14:textId="77777777" w:rsidR="001B205F" w:rsidRDefault="001B205F" w:rsidP="001B205F">
      <w:pPr>
        <w:numPr>
          <w:ilvl w:val="0"/>
          <w:numId w:val="17"/>
        </w:numPr>
      </w:pPr>
      <w:r w:rsidRPr="001B205F">
        <w:t>School districts that have previously levied a five cents equivalent tax rate for debt service, new construction, and major renovation beyond the rate required by KRS 157.440(1)(b) shall not be required to levy an additional tax to receive the equalization funds</w:t>
      </w:r>
      <w:r>
        <w:t>.</w:t>
      </w:r>
    </w:p>
    <w:p w14:paraId="3E50885B" w14:textId="77777777" w:rsidR="00FF2D71" w:rsidRPr="009250A7" w:rsidRDefault="00B21E72" w:rsidP="00A35144">
      <w:pPr>
        <w:numPr>
          <w:ilvl w:val="0"/>
          <w:numId w:val="17"/>
        </w:numPr>
      </w:pPr>
      <w:r>
        <w:t xml:space="preserve">Category 5 Nickel sunset provision stated </w:t>
      </w:r>
      <w:r w:rsidRPr="00B21E72">
        <w:t xml:space="preserve">if </w:t>
      </w:r>
      <w:r w:rsidR="0003176B" w:rsidRPr="00B21E72">
        <w:t>the school district utilize</w:t>
      </w:r>
      <w:r w:rsidR="00B65E49">
        <w:t>d</w:t>
      </w:r>
      <w:r w:rsidR="0003176B" w:rsidRPr="00B21E72">
        <w:t xml:space="preserve"> the appropriated equalization funds, equalization funds shall be provided for </w:t>
      </w:r>
      <w:r w:rsidR="00F038F5">
        <w:t>twenty</w:t>
      </w:r>
      <w:r w:rsidR="0003176B" w:rsidRPr="00B21E72">
        <w:t xml:space="preserve"> years or until the bonds are retired, whichever is less.</w:t>
      </w:r>
    </w:p>
    <w:p w14:paraId="328BDB4F" w14:textId="77777777" w:rsidR="001A3F99" w:rsidRPr="001A3F99" w:rsidRDefault="00EA4E86" w:rsidP="001A3F99">
      <w:pPr>
        <w:rPr>
          <w:color w:val="FFFFFF" w:themeColor="background1"/>
        </w:rPr>
      </w:pPr>
      <w:r w:rsidRPr="001A3F99">
        <w:rPr>
          <w:b/>
          <w:color w:val="FFFFFF" w:themeColor="background1"/>
          <w:sz w:val="28"/>
          <w:szCs w:val="28"/>
        </w:rPr>
        <w:t>Blank</w:t>
      </w:r>
    </w:p>
    <w:p w14:paraId="3A692DC8" w14:textId="77777777" w:rsidR="001A3F99" w:rsidRPr="001A3F99" w:rsidRDefault="001A3F99" w:rsidP="001A3F99">
      <w:pPr>
        <w:rPr>
          <w:color w:val="FFFFFF" w:themeColor="background1"/>
        </w:rPr>
      </w:pPr>
      <w:r w:rsidRPr="001A3F99">
        <w:rPr>
          <w:color w:val="FFFFFF" w:themeColor="background1"/>
        </w:rPr>
        <w:t>Blank</w:t>
      </w:r>
    </w:p>
    <w:p w14:paraId="700E2174" w14:textId="77777777" w:rsidR="00B843B7" w:rsidRPr="001A3F99" w:rsidRDefault="00B843B7" w:rsidP="00EA4E86">
      <w:pPr>
        <w:rPr>
          <w:b/>
          <w:color w:val="FFFFFF" w:themeColor="background1"/>
          <w:sz w:val="28"/>
          <w:szCs w:val="28"/>
        </w:rPr>
      </w:pPr>
    </w:p>
    <w:p w14:paraId="69264A23" w14:textId="77777777" w:rsidR="00F26DA6" w:rsidRPr="001A3F99" w:rsidRDefault="001A3F99" w:rsidP="001A3F99">
      <w:pPr>
        <w:rPr>
          <w:color w:val="FFFFFF" w:themeColor="background1"/>
        </w:rPr>
      </w:pPr>
      <w:r w:rsidRPr="001A3F99">
        <w:rPr>
          <w:color w:val="FFFFFF" w:themeColor="background1"/>
        </w:rPr>
        <w:t>Blank</w:t>
      </w:r>
    </w:p>
    <w:p w14:paraId="7CF7093D" w14:textId="77777777" w:rsidR="001A3F99" w:rsidRPr="001A3F99" w:rsidRDefault="001A3F99" w:rsidP="001A3F99"/>
    <w:p w14:paraId="2C2A51E9" w14:textId="77777777" w:rsidR="00F26DA6" w:rsidRDefault="00F26DA6" w:rsidP="00CE4690">
      <w:pPr>
        <w:jc w:val="center"/>
        <w:rPr>
          <w:b/>
          <w:sz w:val="28"/>
          <w:szCs w:val="28"/>
        </w:rPr>
      </w:pPr>
    </w:p>
    <w:p w14:paraId="6E952F15" w14:textId="77777777" w:rsidR="00A35144" w:rsidRPr="00A35144" w:rsidRDefault="00A35144" w:rsidP="00CE4690">
      <w:pPr>
        <w:jc w:val="center"/>
        <w:rPr>
          <w:b/>
          <w:sz w:val="28"/>
          <w:szCs w:val="28"/>
        </w:rPr>
      </w:pPr>
      <w:r w:rsidRPr="00A35144">
        <w:rPr>
          <w:b/>
          <w:sz w:val="28"/>
          <w:szCs w:val="28"/>
        </w:rPr>
        <w:lastRenderedPageBreak/>
        <w:t xml:space="preserve">Nickel </w:t>
      </w:r>
      <w:r w:rsidR="00125B1E">
        <w:rPr>
          <w:b/>
          <w:sz w:val="28"/>
          <w:szCs w:val="28"/>
        </w:rPr>
        <w:t xml:space="preserve">Levy </w:t>
      </w:r>
      <w:r w:rsidRPr="00A35144">
        <w:rPr>
          <w:b/>
          <w:sz w:val="28"/>
          <w:szCs w:val="28"/>
        </w:rPr>
        <w:t>Chart:</w:t>
      </w:r>
    </w:p>
    <w:tbl>
      <w:tblPr>
        <w:tblW w:w="11520" w:type="dxa"/>
        <w:tblInd w:w="-1008" w:type="dxa"/>
        <w:tblLook w:val="0480" w:firstRow="0" w:lastRow="0" w:firstColumn="1" w:lastColumn="0" w:noHBand="0" w:noVBand="1"/>
      </w:tblPr>
      <w:tblGrid>
        <w:gridCol w:w="2775"/>
        <w:gridCol w:w="867"/>
        <w:gridCol w:w="1306"/>
        <w:gridCol w:w="1387"/>
        <w:gridCol w:w="1387"/>
        <w:gridCol w:w="1387"/>
        <w:gridCol w:w="1214"/>
        <w:gridCol w:w="1197"/>
      </w:tblGrid>
      <w:tr w:rsidR="004933DE" w:rsidRPr="00033751" w14:paraId="3167A903" w14:textId="77777777" w:rsidTr="00F74FEF">
        <w:trPr>
          <w:trHeight w:val="480"/>
          <w:tblHeader/>
        </w:trPr>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C37DB" w14:textId="77777777" w:rsidR="00033751" w:rsidRPr="00125B1E" w:rsidRDefault="00033751" w:rsidP="00033751">
            <w:pPr>
              <w:spacing w:after="0" w:line="240" w:lineRule="auto"/>
              <w:rPr>
                <w:rFonts w:eastAsia="Times New Roman"/>
                <w:b/>
                <w:bCs/>
                <w:color w:val="000000"/>
                <w:sz w:val="20"/>
                <w:szCs w:val="20"/>
              </w:rPr>
            </w:pPr>
            <w:r w:rsidRPr="00125B1E">
              <w:rPr>
                <w:rFonts w:eastAsia="Times New Roman"/>
                <w:b/>
                <w:bCs/>
                <w:color w:val="000000"/>
                <w:sz w:val="20"/>
                <w:szCs w:val="20"/>
              </w:rPr>
              <w:t>District</w:t>
            </w:r>
          </w:p>
        </w:tc>
        <w:tc>
          <w:tcPr>
            <w:tcW w:w="867" w:type="dxa"/>
            <w:tcBorders>
              <w:top w:val="single" w:sz="4" w:space="0" w:color="auto"/>
              <w:left w:val="nil"/>
              <w:bottom w:val="single" w:sz="4" w:space="0" w:color="auto"/>
              <w:right w:val="single" w:sz="4" w:space="0" w:color="auto"/>
            </w:tcBorders>
            <w:shd w:val="clear" w:color="auto" w:fill="auto"/>
            <w:vAlign w:val="center"/>
            <w:hideMark/>
          </w:tcPr>
          <w:p w14:paraId="5D37B6E1" w14:textId="77777777" w:rsidR="00033751" w:rsidRPr="00125B1E" w:rsidRDefault="00033751" w:rsidP="00033751">
            <w:pPr>
              <w:spacing w:after="0" w:line="240" w:lineRule="auto"/>
              <w:jc w:val="center"/>
              <w:rPr>
                <w:rFonts w:eastAsia="Times New Roman"/>
                <w:b/>
                <w:bCs/>
                <w:color w:val="000000"/>
                <w:sz w:val="20"/>
                <w:szCs w:val="20"/>
              </w:rPr>
            </w:pPr>
            <w:r w:rsidRPr="00125B1E">
              <w:rPr>
                <w:rFonts w:eastAsia="Times New Roman"/>
                <w:b/>
                <w:bCs/>
                <w:color w:val="000000"/>
                <w:sz w:val="20"/>
                <w:szCs w:val="20"/>
              </w:rPr>
              <w:t>FSPK</w:t>
            </w:r>
          </w:p>
        </w:tc>
        <w:tc>
          <w:tcPr>
            <w:tcW w:w="1306" w:type="dxa"/>
            <w:tcBorders>
              <w:top w:val="single" w:sz="4" w:space="0" w:color="auto"/>
              <w:left w:val="nil"/>
              <w:bottom w:val="single" w:sz="4" w:space="0" w:color="auto"/>
              <w:right w:val="single" w:sz="4" w:space="0" w:color="auto"/>
            </w:tcBorders>
            <w:shd w:val="clear" w:color="auto" w:fill="FFD966" w:themeFill="accent4" w:themeFillTint="99"/>
            <w:vAlign w:val="center"/>
            <w:hideMark/>
          </w:tcPr>
          <w:p w14:paraId="3D6FCC5A" w14:textId="77777777" w:rsidR="00033751" w:rsidRPr="00125B1E" w:rsidRDefault="00033751" w:rsidP="00033751">
            <w:pPr>
              <w:spacing w:after="0" w:line="240" w:lineRule="auto"/>
              <w:jc w:val="center"/>
              <w:rPr>
                <w:rFonts w:eastAsia="Times New Roman"/>
                <w:b/>
                <w:bCs/>
                <w:color w:val="000000"/>
                <w:sz w:val="20"/>
                <w:szCs w:val="20"/>
              </w:rPr>
            </w:pPr>
            <w:r w:rsidRPr="00125B1E">
              <w:rPr>
                <w:rFonts w:eastAsia="Times New Roman"/>
                <w:b/>
                <w:bCs/>
                <w:color w:val="000000"/>
                <w:sz w:val="20"/>
                <w:szCs w:val="20"/>
              </w:rPr>
              <w:t>Original Growth</w:t>
            </w:r>
          </w:p>
        </w:tc>
        <w:tc>
          <w:tcPr>
            <w:tcW w:w="1387" w:type="dxa"/>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04FF60C8" w14:textId="77777777" w:rsidR="00033751" w:rsidRPr="00125B1E" w:rsidRDefault="00033751" w:rsidP="00033751">
            <w:pPr>
              <w:spacing w:after="0" w:line="240" w:lineRule="auto"/>
              <w:jc w:val="center"/>
              <w:rPr>
                <w:rFonts w:eastAsia="Times New Roman"/>
                <w:b/>
                <w:bCs/>
                <w:color w:val="000000"/>
                <w:sz w:val="20"/>
                <w:szCs w:val="20"/>
              </w:rPr>
            </w:pPr>
            <w:r w:rsidRPr="00125B1E">
              <w:rPr>
                <w:rFonts w:eastAsia="Times New Roman"/>
                <w:b/>
                <w:bCs/>
                <w:color w:val="000000"/>
                <w:sz w:val="20"/>
                <w:szCs w:val="20"/>
              </w:rPr>
              <w:t>Equalized Growth Nickel</w:t>
            </w:r>
          </w:p>
        </w:tc>
        <w:tc>
          <w:tcPr>
            <w:tcW w:w="1387" w:type="dxa"/>
            <w:tcBorders>
              <w:top w:val="single" w:sz="4" w:space="0" w:color="auto"/>
              <w:left w:val="nil"/>
              <w:bottom w:val="single" w:sz="4" w:space="0" w:color="auto"/>
              <w:right w:val="single" w:sz="4" w:space="0" w:color="auto"/>
            </w:tcBorders>
            <w:shd w:val="clear" w:color="auto" w:fill="FF7C80"/>
            <w:vAlign w:val="center"/>
            <w:hideMark/>
          </w:tcPr>
          <w:p w14:paraId="54308217" w14:textId="77777777" w:rsidR="00033751" w:rsidRPr="00125B1E" w:rsidRDefault="00033751" w:rsidP="00033751">
            <w:pPr>
              <w:spacing w:after="0" w:line="240" w:lineRule="auto"/>
              <w:jc w:val="center"/>
              <w:rPr>
                <w:rFonts w:eastAsia="Times New Roman"/>
                <w:b/>
                <w:bCs/>
                <w:color w:val="000000"/>
                <w:sz w:val="20"/>
                <w:szCs w:val="20"/>
              </w:rPr>
            </w:pPr>
            <w:r w:rsidRPr="00125B1E">
              <w:rPr>
                <w:rFonts w:eastAsia="Times New Roman"/>
                <w:b/>
                <w:bCs/>
                <w:color w:val="000000"/>
                <w:sz w:val="20"/>
                <w:szCs w:val="20"/>
              </w:rPr>
              <w:t>Recallable Nickel</w:t>
            </w:r>
          </w:p>
        </w:tc>
        <w:tc>
          <w:tcPr>
            <w:tcW w:w="1387" w:type="dxa"/>
            <w:tcBorders>
              <w:top w:val="single" w:sz="4" w:space="0" w:color="auto"/>
              <w:left w:val="nil"/>
              <w:bottom w:val="single" w:sz="4" w:space="0" w:color="auto"/>
              <w:right w:val="single" w:sz="4" w:space="0" w:color="auto"/>
            </w:tcBorders>
            <w:shd w:val="clear" w:color="000000" w:fill="CCC0DA"/>
            <w:vAlign w:val="center"/>
            <w:hideMark/>
          </w:tcPr>
          <w:p w14:paraId="63FB975A" w14:textId="77777777" w:rsidR="00033751" w:rsidRPr="00125B1E" w:rsidRDefault="00033751" w:rsidP="00033751">
            <w:pPr>
              <w:spacing w:after="0" w:line="240" w:lineRule="auto"/>
              <w:jc w:val="center"/>
              <w:rPr>
                <w:rFonts w:eastAsia="Times New Roman"/>
                <w:b/>
                <w:bCs/>
                <w:color w:val="000000"/>
                <w:sz w:val="20"/>
                <w:szCs w:val="20"/>
              </w:rPr>
            </w:pPr>
            <w:r w:rsidRPr="00125B1E">
              <w:rPr>
                <w:rFonts w:eastAsia="Times New Roman"/>
                <w:b/>
                <w:bCs/>
                <w:color w:val="000000"/>
                <w:sz w:val="20"/>
                <w:szCs w:val="20"/>
              </w:rPr>
              <w:t>EFF</w:t>
            </w:r>
          </w:p>
        </w:tc>
        <w:tc>
          <w:tcPr>
            <w:tcW w:w="1214" w:type="dxa"/>
            <w:tcBorders>
              <w:top w:val="single" w:sz="4" w:space="0" w:color="auto"/>
              <w:left w:val="nil"/>
              <w:bottom w:val="single" w:sz="4" w:space="0" w:color="auto"/>
              <w:right w:val="single" w:sz="4" w:space="0" w:color="auto"/>
            </w:tcBorders>
            <w:shd w:val="clear" w:color="000000" w:fill="F79646"/>
            <w:vAlign w:val="center"/>
            <w:hideMark/>
          </w:tcPr>
          <w:p w14:paraId="45EA4038" w14:textId="77777777" w:rsidR="00033751" w:rsidRPr="00125B1E" w:rsidRDefault="00033751" w:rsidP="00033751">
            <w:pPr>
              <w:spacing w:after="0" w:line="240" w:lineRule="auto"/>
              <w:jc w:val="center"/>
              <w:rPr>
                <w:rFonts w:eastAsia="Times New Roman"/>
                <w:b/>
                <w:bCs/>
                <w:color w:val="000000"/>
                <w:sz w:val="20"/>
                <w:szCs w:val="20"/>
              </w:rPr>
            </w:pPr>
            <w:r w:rsidRPr="00125B1E">
              <w:rPr>
                <w:rFonts w:eastAsia="Times New Roman"/>
                <w:b/>
                <w:bCs/>
                <w:color w:val="000000"/>
                <w:sz w:val="20"/>
                <w:szCs w:val="20"/>
              </w:rPr>
              <w:t xml:space="preserve">BRAC </w:t>
            </w:r>
          </w:p>
        </w:tc>
        <w:tc>
          <w:tcPr>
            <w:tcW w:w="1197"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46AE8D18" w14:textId="77777777" w:rsidR="00033751" w:rsidRPr="00125B1E" w:rsidRDefault="00033751" w:rsidP="00033751">
            <w:pPr>
              <w:spacing w:after="0" w:line="240" w:lineRule="auto"/>
              <w:jc w:val="center"/>
              <w:rPr>
                <w:rFonts w:eastAsia="Times New Roman"/>
                <w:b/>
                <w:bCs/>
                <w:color w:val="000000"/>
                <w:sz w:val="20"/>
                <w:szCs w:val="20"/>
              </w:rPr>
            </w:pPr>
            <w:r w:rsidRPr="00125B1E">
              <w:rPr>
                <w:rFonts w:eastAsia="Times New Roman"/>
                <w:b/>
                <w:bCs/>
                <w:color w:val="000000"/>
                <w:sz w:val="20"/>
                <w:szCs w:val="20"/>
              </w:rPr>
              <w:t>Category 5</w:t>
            </w:r>
          </w:p>
        </w:tc>
      </w:tr>
      <w:tr w:rsidR="004933DE" w:rsidRPr="00033751" w14:paraId="73B9E244"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70CBA304"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001 Adair County</w:t>
            </w:r>
          </w:p>
        </w:tc>
        <w:tc>
          <w:tcPr>
            <w:tcW w:w="867" w:type="dxa"/>
            <w:tcBorders>
              <w:top w:val="nil"/>
              <w:left w:val="nil"/>
              <w:bottom w:val="single" w:sz="4" w:space="0" w:color="auto"/>
              <w:right w:val="single" w:sz="4" w:space="0" w:color="auto"/>
            </w:tcBorders>
            <w:shd w:val="clear" w:color="auto" w:fill="auto"/>
            <w:noWrap/>
            <w:vAlign w:val="bottom"/>
            <w:hideMark/>
          </w:tcPr>
          <w:p w14:paraId="4F39C2DE"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75F5A69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6C042CC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7736539C" w14:textId="77777777" w:rsidR="00033751" w:rsidRPr="0047465C" w:rsidRDefault="00761A2A" w:rsidP="00033751">
            <w:pPr>
              <w:spacing w:after="0" w:line="240" w:lineRule="auto"/>
              <w:jc w:val="center"/>
              <w:rPr>
                <w:rFonts w:eastAsia="Times New Roman"/>
                <w:b/>
                <w:bCs/>
                <w:color w:val="000000"/>
                <w:sz w:val="18"/>
                <w:szCs w:val="18"/>
              </w:rPr>
            </w:pPr>
            <w:r w:rsidRPr="0047465C">
              <w:rPr>
                <w:rFonts w:eastAsia="Times New Roman"/>
                <w:b/>
                <w:bCs/>
                <w:color w:val="000000"/>
                <w:sz w:val="18"/>
                <w:szCs w:val="18"/>
              </w:rPr>
              <w:t>1/20/2022</w:t>
            </w:r>
            <w:r w:rsidR="00033751" w:rsidRPr="0047465C">
              <w:rPr>
                <w:rFonts w:eastAsia="Times New Roman"/>
                <w:b/>
                <w:bCs/>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7A3283F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7EFDF4D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6FA6F96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3CD1D8D8"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3D2A376D"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005 Allen County</w:t>
            </w:r>
          </w:p>
        </w:tc>
        <w:tc>
          <w:tcPr>
            <w:tcW w:w="867" w:type="dxa"/>
            <w:tcBorders>
              <w:top w:val="nil"/>
              <w:left w:val="nil"/>
              <w:bottom w:val="single" w:sz="4" w:space="0" w:color="auto"/>
              <w:right w:val="single" w:sz="4" w:space="0" w:color="auto"/>
            </w:tcBorders>
            <w:shd w:val="clear" w:color="auto" w:fill="auto"/>
            <w:noWrap/>
            <w:vAlign w:val="bottom"/>
            <w:hideMark/>
          </w:tcPr>
          <w:p w14:paraId="179D19A8"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00EDF95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4482E74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6CF0625E" w14:textId="653BB629" w:rsidR="00033751" w:rsidRPr="000529E2" w:rsidRDefault="000529E2" w:rsidP="00033751">
            <w:pPr>
              <w:spacing w:after="0" w:line="240" w:lineRule="auto"/>
              <w:jc w:val="center"/>
              <w:rPr>
                <w:rFonts w:eastAsia="Times New Roman"/>
                <w:b/>
                <w:bCs/>
                <w:color w:val="000000"/>
                <w:sz w:val="18"/>
                <w:szCs w:val="18"/>
              </w:rPr>
            </w:pPr>
            <w:r w:rsidRPr="000529E2">
              <w:rPr>
                <w:rFonts w:eastAsia="Times New Roman"/>
                <w:b/>
                <w:bCs/>
                <w:color w:val="000000"/>
                <w:sz w:val="18"/>
                <w:szCs w:val="18"/>
              </w:rPr>
              <w:t>8/24/2023</w:t>
            </w:r>
            <w:r w:rsidR="00033751" w:rsidRPr="000529E2">
              <w:rPr>
                <w:rFonts w:eastAsia="Times New Roman"/>
                <w:b/>
                <w:bCs/>
                <w:color w:val="000000"/>
                <w:sz w:val="18"/>
                <w:szCs w:val="18"/>
              </w:rPr>
              <w:t> </w:t>
            </w:r>
          </w:p>
        </w:tc>
        <w:tc>
          <w:tcPr>
            <w:tcW w:w="1387" w:type="dxa"/>
            <w:tcBorders>
              <w:top w:val="nil"/>
              <w:left w:val="nil"/>
              <w:bottom w:val="single" w:sz="4" w:space="0" w:color="auto"/>
              <w:right w:val="single" w:sz="4" w:space="0" w:color="auto"/>
            </w:tcBorders>
            <w:shd w:val="clear" w:color="000000" w:fill="CCC0DA"/>
            <w:vAlign w:val="bottom"/>
            <w:hideMark/>
          </w:tcPr>
          <w:p w14:paraId="5CFA9CF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8/16/2005</w:t>
            </w:r>
          </w:p>
        </w:tc>
        <w:tc>
          <w:tcPr>
            <w:tcW w:w="1214" w:type="dxa"/>
            <w:tcBorders>
              <w:top w:val="nil"/>
              <w:left w:val="nil"/>
              <w:bottom w:val="single" w:sz="4" w:space="0" w:color="auto"/>
              <w:right w:val="single" w:sz="4" w:space="0" w:color="auto"/>
            </w:tcBorders>
            <w:shd w:val="clear" w:color="000000" w:fill="F79646"/>
            <w:noWrap/>
            <w:vAlign w:val="bottom"/>
            <w:hideMark/>
          </w:tcPr>
          <w:p w14:paraId="1563BFD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2EC453D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72AC51BD"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5978999A"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006 Anchorage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02A99F90"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405AF90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7D1077B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7BCD366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0AAC79D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15CBDD8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48FED13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35F5670F"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57C8B30C"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011 Anderson County</w:t>
            </w:r>
          </w:p>
        </w:tc>
        <w:tc>
          <w:tcPr>
            <w:tcW w:w="867" w:type="dxa"/>
            <w:tcBorders>
              <w:top w:val="nil"/>
              <w:left w:val="nil"/>
              <w:bottom w:val="single" w:sz="4" w:space="0" w:color="auto"/>
              <w:right w:val="single" w:sz="4" w:space="0" w:color="auto"/>
            </w:tcBorders>
            <w:shd w:val="clear" w:color="auto" w:fill="auto"/>
            <w:noWrap/>
            <w:vAlign w:val="bottom"/>
            <w:hideMark/>
          </w:tcPr>
          <w:p w14:paraId="4989C912"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noWrap/>
            <w:vAlign w:val="bottom"/>
            <w:hideMark/>
          </w:tcPr>
          <w:p w14:paraId="45F39F1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8/1/1995</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2E2B103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8/28/2003</w:t>
            </w:r>
          </w:p>
        </w:tc>
        <w:tc>
          <w:tcPr>
            <w:tcW w:w="1387" w:type="dxa"/>
            <w:tcBorders>
              <w:top w:val="nil"/>
              <w:left w:val="nil"/>
              <w:bottom w:val="single" w:sz="4" w:space="0" w:color="auto"/>
              <w:right w:val="single" w:sz="4" w:space="0" w:color="auto"/>
            </w:tcBorders>
            <w:shd w:val="clear" w:color="auto" w:fill="FF7C80"/>
            <w:noWrap/>
            <w:vAlign w:val="bottom"/>
            <w:hideMark/>
          </w:tcPr>
          <w:p w14:paraId="451B010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38032F9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6D45FA6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30A49BA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1694FF7C"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227F862A"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012 Ashland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114AB953"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7AB4643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7576761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5C9E1D6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8/29/2011</w:t>
            </w:r>
          </w:p>
        </w:tc>
        <w:tc>
          <w:tcPr>
            <w:tcW w:w="1387" w:type="dxa"/>
            <w:tcBorders>
              <w:top w:val="nil"/>
              <w:left w:val="nil"/>
              <w:bottom w:val="single" w:sz="4" w:space="0" w:color="auto"/>
              <w:right w:val="single" w:sz="4" w:space="0" w:color="auto"/>
            </w:tcBorders>
            <w:shd w:val="clear" w:color="000000" w:fill="CCC0DA"/>
            <w:noWrap/>
            <w:vAlign w:val="bottom"/>
            <w:hideMark/>
          </w:tcPr>
          <w:p w14:paraId="38DB2E1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4B85211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4D537AA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66583E65"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6D19EEF8"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013 Augusta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16F17F68"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49B16E0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36D7EE8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14E73413" w14:textId="77777777" w:rsidR="00033751" w:rsidRPr="00033751" w:rsidRDefault="00FD21AD" w:rsidP="00033751">
            <w:pPr>
              <w:spacing w:after="0" w:line="240" w:lineRule="auto"/>
              <w:jc w:val="center"/>
              <w:rPr>
                <w:rFonts w:eastAsia="Times New Roman"/>
                <w:color w:val="000000"/>
                <w:sz w:val="18"/>
                <w:szCs w:val="18"/>
              </w:rPr>
            </w:pPr>
            <w:r>
              <w:rPr>
                <w:rFonts w:eastAsia="Times New Roman"/>
                <w:color w:val="000000"/>
                <w:sz w:val="18"/>
                <w:szCs w:val="18"/>
              </w:rPr>
              <w:t>8/16/2018</w:t>
            </w:r>
            <w:r w:rsidR="00033751"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04C56DC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25106F7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028FEBD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78625D75"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625EA2FA"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015 Ballard County</w:t>
            </w:r>
          </w:p>
        </w:tc>
        <w:tc>
          <w:tcPr>
            <w:tcW w:w="867" w:type="dxa"/>
            <w:tcBorders>
              <w:top w:val="nil"/>
              <w:left w:val="nil"/>
              <w:bottom w:val="single" w:sz="4" w:space="0" w:color="auto"/>
              <w:right w:val="single" w:sz="4" w:space="0" w:color="auto"/>
            </w:tcBorders>
            <w:shd w:val="clear" w:color="auto" w:fill="auto"/>
            <w:noWrap/>
            <w:vAlign w:val="bottom"/>
            <w:hideMark/>
          </w:tcPr>
          <w:p w14:paraId="639F2C15"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6C6B049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609CAC7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75920CC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10/31/2003</w:t>
            </w:r>
          </w:p>
        </w:tc>
        <w:tc>
          <w:tcPr>
            <w:tcW w:w="1387" w:type="dxa"/>
            <w:tcBorders>
              <w:top w:val="nil"/>
              <w:left w:val="nil"/>
              <w:bottom w:val="single" w:sz="4" w:space="0" w:color="auto"/>
              <w:right w:val="single" w:sz="4" w:space="0" w:color="auto"/>
            </w:tcBorders>
            <w:shd w:val="clear" w:color="000000" w:fill="CCC0DA"/>
            <w:noWrap/>
            <w:vAlign w:val="bottom"/>
            <w:hideMark/>
          </w:tcPr>
          <w:p w14:paraId="7F001DA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427F86D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3164858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060D1509"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70A84929"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016 Barbourville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030BAD3F"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72020D6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53C8CEC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59B1BF92" w14:textId="77777777" w:rsidR="00033751" w:rsidRPr="00033751" w:rsidRDefault="009B2B8E" w:rsidP="00033751">
            <w:pPr>
              <w:spacing w:after="0" w:line="240" w:lineRule="auto"/>
              <w:jc w:val="center"/>
              <w:rPr>
                <w:rFonts w:eastAsia="Times New Roman"/>
                <w:color w:val="000000"/>
                <w:sz w:val="18"/>
                <w:szCs w:val="18"/>
              </w:rPr>
            </w:pPr>
            <w:r w:rsidRPr="00FD21AD">
              <w:rPr>
                <w:rFonts w:eastAsia="Times New Roman"/>
                <w:color w:val="000000"/>
                <w:sz w:val="18"/>
                <w:szCs w:val="18"/>
              </w:rPr>
              <w:t>7/20/2017</w:t>
            </w:r>
            <w:r w:rsidR="00033751"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130F39F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4A3001E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2EC63C8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1E107B9C"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3EECB5C3"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017 Bardstown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1A05DC39"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6DDE3D2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9/18/2001</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01DC5E0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9/16/2003</w:t>
            </w:r>
          </w:p>
        </w:tc>
        <w:tc>
          <w:tcPr>
            <w:tcW w:w="1387" w:type="dxa"/>
            <w:tcBorders>
              <w:top w:val="nil"/>
              <w:left w:val="nil"/>
              <w:bottom w:val="single" w:sz="4" w:space="0" w:color="auto"/>
              <w:right w:val="single" w:sz="4" w:space="0" w:color="auto"/>
            </w:tcBorders>
            <w:shd w:val="clear" w:color="auto" w:fill="FF7C80"/>
            <w:noWrap/>
            <w:vAlign w:val="bottom"/>
            <w:hideMark/>
          </w:tcPr>
          <w:p w14:paraId="7E10052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47A3E9B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7649016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69C74E3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35EE5BD9"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7962CB29"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021 Barren County</w:t>
            </w:r>
          </w:p>
        </w:tc>
        <w:tc>
          <w:tcPr>
            <w:tcW w:w="867" w:type="dxa"/>
            <w:tcBorders>
              <w:top w:val="nil"/>
              <w:left w:val="nil"/>
              <w:bottom w:val="single" w:sz="4" w:space="0" w:color="auto"/>
              <w:right w:val="single" w:sz="4" w:space="0" w:color="auto"/>
            </w:tcBorders>
            <w:shd w:val="clear" w:color="auto" w:fill="auto"/>
            <w:noWrap/>
            <w:vAlign w:val="bottom"/>
            <w:hideMark/>
          </w:tcPr>
          <w:p w14:paraId="5E18ECA3"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7D3B161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10/12/1995</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5ECB20E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8/14/2003</w:t>
            </w:r>
          </w:p>
        </w:tc>
        <w:tc>
          <w:tcPr>
            <w:tcW w:w="1387" w:type="dxa"/>
            <w:tcBorders>
              <w:top w:val="nil"/>
              <w:left w:val="nil"/>
              <w:bottom w:val="single" w:sz="4" w:space="0" w:color="auto"/>
              <w:right w:val="single" w:sz="4" w:space="0" w:color="auto"/>
            </w:tcBorders>
            <w:shd w:val="clear" w:color="auto" w:fill="FF7C80"/>
            <w:noWrap/>
            <w:vAlign w:val="bottom"/>
            <w:hideMark/>
          </w:tcPr>
          <w:p w14:paraId="31BA591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54F8CE6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68121ED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1A36733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7BB0C9D7"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14465207"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025 Bath County</w:t>
            </w:r>
          </w:p>
        </w:tc>
        <w:tc>
          <w:tcPr>
            <w:tcW w:w="867" w:type="dxa"/>
            <w:tcBorders>
              <w:top w:val="nil"/>
              <w:left w:val="nil"/>
              <w:bottom w:val="single" w:sz="4" w:space="0" w:color="auto"/>
              <w:right w:val="single" w:sz="4" w:space="0" w:color="auto"/>
            </w:tcBorders>
            <w:shd w:val="clear" w:color="auto" w:fill="auto"/>
            <w:noWrap/>
            <w:vAlign w:val="bottom"/>
            <w:hideMark/>
          </w:tcPr>
          <w:p w14:paraId="68C580E0"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7BEE034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7500252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219D9D0A" w14:textId="77777777" w:rsidR="00033751" w:rsidRPr="00033751" w:rsidRDefault="007A1303" w:rsidP="00033751">
            <w:pPr>
              <w:spacing w:after="0" w:line="240" w:lineRule="auto"/>
              <w:jc w:val="center"/>
              <w:rPr>
                <w:rFonts w:eastAsia="Times New Roman"/>
                <w:color w:val="000000"/>
                <w:sz w:val="18"/>
                <w:szCs w:val="18"/>
              </w:rPr>
            </w:pPr>
            <w:r>
              <w:rPr>
                <w:rFonts w:eastAsia="Times New Roman"/>
                <w:color w:val="000000"/>
                <w:sz w:val="18"/>
                <w:szCs w:val="18"/>
              </w:rPr>
              <w:t>9/14/2013</w:t>
            </w:r>
            <w:r w:rsidR="00033751"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369E3CB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6F8BCEC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6189B9F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732E2EA5"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483C4061"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026 Beechwood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4A7EAC12"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789BF86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1295FE7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1F4FA366" w14:textId="77777777" w:rsidR="00124DDE" w:rsidRDefault="003959DA" w:rsidP="00033751">
            <w:pPr>
              <w:spacing w:after="0" w:line="240" w:lineRule="auto"/>
              <w:jc w:val="center"/>
              <w:rPr>
                <w:rFonts w:eastAsia="Times New Roman"/>
                <w:color w:val="000000"/>
                <w:sz w:val="18"/>
                <w:szCs w:val="18"/>
              </w:rPr>
            </w:pPr>
            <w:r>
              <w:rPr>
                <w:rFonts w:eastAsia="Times New Roman"/>
                <w:color w:val="000000"/>
                <w:sz w:val="18"/>
                <w:szCs w:val="18"/>
              </w:rPr>
              <w:t>5/13/2019</w:t>
            </w:r>
            <w:r w:rsidR="00033751" w:rsidRPr="00033751">
              <w:rPr>
                <w:rFonts w:eastAsia="Times New Roman"/>
                <w:color w:val="000000"/>
                <w:sz w:val="18"/>
                <w:szCs w:val="18"/>
              </w:rPr>
              <w:t> </w:t>
            </w:r>
          </w:p>
          <w:p w14:paraId="4D3C522D" w14:textId="77777777" w:rsidR="00033751" w:rsidRPr="00033751" w:rsidRDefault="00124DDE" w:rsidP="00033751">
            <w:pPr>
              <w:spacing w:after="0" w:line="240" w:lineRule="auto"/>
              <w:jc w:val="center"/>
              <w:rPr>
                <w:rFonts w:eastAsia="Times New Roman"/>
                <w:color w:val="000000"/>
                <w:sz w:val="18"/>
                <w:szCs w:val="18"/>
              </w:rPr>
            </w:pPr>
            <w:r>
              <w:rPr>
                <w:rFonts w:eastAsia="Times New Roman"/>
                <w:color w:val="000000"/>
                <w:sz w:val="18"/>
                <w:szCs w:val="18"/>
              </w:rPr>
              <w:t xml:space="preserve"> (double)</w:t>
            </w:r>
          </w:p>
        </w:tc>
        <w:tc>
          <w:tcPr>
            <w:tcW w:w="1387" w:type="dxa"/>
            <w:tcBorders>
              <w:top w:val="nil"/>
              <w:left w:val="nil"/>
              <w:bottom w:val="single" w:sz="4" w:space="0" w:color="auto"/>
              <w:right w:val="single" w:sz="4" w:space="0" w:color="auto"/>
            </w:tcBorders>
            <w:shd w:val="clear" w:color="000000" w:fill="CCC0DA"/>
            <w:noWrap/>
            <w:vAlign w:val="bottom"/>
            <w:hideMark/>
          </w:tcPr>
          <w:p w14:paraId="1E29653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9/12/2005</w:t>
            </w:r>
          </w:p>
        </w:tc>
        <w:tc>
          <w:tcPr>
            <w:tcW w:w="1214" w:type="dxa"/>
            <w:tcBorders>
              <w:top w:val="nil"/>
              <w:left w:val="nil"/>
              <w:bottom w:val="single" w:sz="4" w:space="0" w:color="auto"/>
              <w:right w:val="single" w:sz="4" w:space="0" w:color="auto"/>
            </w:tcBorders>
            <w:shd w:val="clear" w:color="000000" w:fill="F79646"/>
            <w:noWrap/>
            <w:vAlign w:val="bottom"/>
            <w:hideMark/>
          </w:tcPr>
          <w:p w14:paraId="351B97F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7EA0A02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0E5B3CAA"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4DC06EA5"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031 Bell County</w:t>
            </w:r>
          </w:p>
        </w:tc>
        <w:tc>
          <w:tcPr>
            <w:tcW w:w="867" w:type="dxa"/>
            <w:tcBorders>
              <w:top w:val="nil"/>
              <w:left w:val="nil"/>
              <w:bottom w:val="single" w:sz="4" w:space="0" w:color="auto"/>
              <w:right w:val="single" w:sz="4" w:space="0" w:color="auto"/>
            </w:tcBorders>
            <w:shd w:val="clear" w:color="auto" w:fill="auto"/>
            <w:noWrap/>
            <w:vAlign w:val="bottom"/>
            <w:hideMark/>
          </w:tcPr>
          <w:p w14:paraId="6A618FC6"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3BD584F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095B7A2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156A3CB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9/6/2012</w:t>
            </w:r>
          </w:p>
        </w:tc>
        <w:tc>
          <w:tcPr>
            <w:tcW w:w="1387" w:type="dxa"/>
            <w:tcBorders>
              <w:top w:val="nil"/>
              <w:left w:val="nil"/>
              <w:bottom w:val="single" w:sz="4" w:space="0" w:color="auto"/>
              <w:right w:val="single" w:sz="4" w:space="0" w:color="auto"/>
            </w:tcBorders>
            <w:shd w:val="clear" w:color="000000" w:fill="CCC0DA"/>
            <w:noWrap/>
            <w:vAlign w:val="bottom"/>
            <w:hideMark/>
          </w:tcPr>
          <w:p w14:paraId="27A8908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08BC4BA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3AB0092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3FF5B9CE" w14:textId="77777777" w:rsidTr="00F74FEF">
        <w:trPr>
          <w:trHeight w:val="300"/>
        </w:trPr>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2FB08"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032 Bellevue Independent</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5415E"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1B39765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67E7EA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auto" w:fill="FF7C80"/>
            <w:noWrap/>
            <w:vAlign w:val="bottom"/>
            <w:hideMark/>
          </w:tcPr>
          <w:p w14:paraId="1B27B58B" w14:textId="77777777" w:rsidR="00DA0EC7" w:rsidRDefault="003959DA" w:rsidP="00033751">
            <w:pPr>
              <w:spacing w:after="0" w:line="240" w:lineRule="auto"/>
              <w:jc w:val="center"/>
              <w:rPr>
                <w:rFonts w:eastAsia="Times New Roman"/>
                <w:color w:val="000000"/>
                <w:sz w:val="18"/>
                <w:szCs w:val="18"/>
              </w:rPr>
            </w:pPr>
            <w:r>
              <w:rPr>
                <w:rFonts w:eastAsia="Times New Roman"/>
                <w:color w:val="000000"/>
                <w:sz w:val="18"/>
                <w:szCs w:val="18"/>
              </w:rPr>
              <w:t>4/24/2019</w:t>
            </w:r>
          </w:p>
          <w:p w14:paraId="3DCD1D8A" w14:textId="50840573" w:rsidR="00033751" w:rsidRPr="00DA0EC7" w:rsidRDefault="00DA0EC7" w:rsidP="00033751">
            <w:pPr>
              <w:spacing w:after="0" w:line="240" w:lineRule="auto"/>
              <w:jc w:val="center"/>
              <w:rPr>
                <w:rFonts w:eastAsia="Times New Roman"/>
                <w:b/>
                <w:bCs/>
                <w:color w:val="000000"/>
                <w:sz w:val="18"/>
                <w:szCs w:val="18"/>
              </w:rPr>
            </w:pPr>
            <w:r w:rsidRPr="00DA0EC7">
              <w:rPr>
                <w:rFonts w:eastAsia="Times New Roman"/>
                <w:b/>
                <w:bCs/>
                <w:color w:val="000000"/>
                <w:sz w:val="18"/>
                <w:szCs w:val="18"/>
              </w:rPr>
              <w:t>6/28/2023</w:t>
            </w:r>
            <w:r w:rsidR="00033751" w:rsidRPr="00DA0EC7">
              <w:rPr>
                <w:rFonts w:eastAsia="Times New Roman"/>
                <w:b/>
                <w:bCs/>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14:paraId="00F3074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single" w:sz="4" w:space="0" w:color="auto"/>
              <w:left w:val="single" w:sz="4" w:space="0" w:color="auto"/>
              <w:bottom w:val="single" w:sz="4" w:space="0" w:color="auto"/>
              <w:right w:val="single" w:sz="4" w:space="0" w:color="auto"/>
            </w:tcBorders>
            <w:shd w:val="clear" w:color="000000" w:fill="F79646"/>
            <w:noWrap/>
            <w:vAlign w:val="bottom"/>
            <w:hideMark/>
          </w:tcPr>
          <w:p w14:paraId="066C22D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14:paraId="7D80597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54300567" w14:textId="77777777" w:rsidTr="00F74FEF">
        <w:trPr>
          <w:trHeight w:val="300"/>
        </w:trPr>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5E0A3"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034 Berea Independent</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14:paraId="1DE7AE06"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single" w:sz="4" w:space="0" w:color="auto"/>
              <w:left w:val="nil"/>
              <w:bottom w:val="single" w:sz="4" w:space="0" w:color="auto"/>
              <w:right w:val="single" w:sz="4" w:space="0" w:color="auto"/>
            </w:tcBorders>
            <w:shd w:val="clear" w:color="auto" w:fill="FFD966" w:themeFill="accent4" w:themeFillTint="99"/>
            <w:vAlign w:val="bottom"/>
            <w:hideMark/>
          </w:tcPr>
          <w:p w14:paraId="5C0BE9B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501284B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nil"/>
              <w:bottom w:val="single" w:sz="4" w:space="0" w:color="auto"/>
              <w:right w:val="single" w:sz="4" w:space="0" w:color="auto"/>
            </w:tcBorders>
            <w:shd w:val="clear" w:color="auto" w:fill="FF7C80"/>
            <w:noWrap/>
            <w:vAlign w:val="bottom"/>
            <w:hideMark/>
          </w:tcPr>
          <w:p w14:paraId="717991B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10/27/2003</w:t>
            </w:r>
          </w:p>
        </w:tc>
        <w:tc>
          <w:tcPr>
            <w:tcW w:w="1387" w:type="dxa"/>
            <w:tcBorders>
              <w:top w:val="single" w:sz="4" w:space="0" w:color="auto"/>
              <w:left w:val="nil"/>
              <w:bottom w:val="single" w:sz="4" w:space="0" w:color="auto"/>
              <w:right w:val="single" w:sz="4" w:space="0" w:color="auto"/>
            </w:tcBorders>
            <w:shd w:val="clear" w:color="000000" w:fill="CCC0DA"/>
            <w:noWrap/>
            <w:vAlign w:val="bottom"/>
            <w:hideMark/>
          </w:tcPr>
          <w:p w14:paraId="5FD8907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single" w:sz="4" w:space="0" w:color="auto"/>
              <w:left w:val="nil"/>
              <w:bottom w:val="single" w:sz="4" w:space="0" w:color="auto"/>
              <w:right w:val="single" w:sz="4" w:space="0" w:color="auto"/>
            </w:tcBorders>
            <w:shd w:val="clear" w:color="000000" w:fill="F79646"/>
            <w:noWrap/>
            <w:vAlign w:val="bottom"/>
            <w:hideMark/>
          </w:tcPr>
          <w:p w14:paraId="122A334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single" w:sz="4" w:space="0" w:color="auto"/>
              <w:left w:val="nil"/>
              <w:bottom w:val="single" w:sz="4" w:space="0" w:color="auto"/>
              <w:right w:val="single" w:sz="4" w:space="0" w:color="auto"/>
            </w:tcBorders>
            <w:shd w:val="clear" w:color="auto" w:fill="A8D08D" w:themeFill="accent6" w:themeFillTint="99"/>
            <w:noWrap/>
            <w:vAlign w:val="bottom"/>
            <w:hideMark/>
          </w:tcPr>
          <w:p w14:paraId="77FD86F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55CE10AF"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514C1F80"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035 Boone County</w:t>
            </w:r>
          </w:p>
        </w:tc>
        <w:tc>
          <w:tcPr>
            <w:tcW w:w="867" w:type="dxa"/>
            <w:tcBorders>
              <w:top w:val="nil"/>
              <w:left w:val="nil"/>
              <w:bottom w:val="single" w:sz="4" w:space="0" w:color="auto"/>
              <w:right w:val="single" w:sz="4" w:space="0" w:color="auto"/>
            </w:tcBorders>
            <w:shd w:val="clear" w:color="auto" w:fill="auto"/>
            <w:noWrap/>
            <w:vAlign w:val="bottom"/>
            <w:hideMark/>
          </w:tcPr>
          <w:p w14:paraId="70615E98"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6276D90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9/29/1994</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04713D2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9/11/2003</w:t>
            </w:r>
          </w:p>
        </w:tc>
        <w:tc>
          <w:tcPr>
            <w:tcW w:w="1387" w:type="dxa"/>
            <w:tcBorders>
              <w:top w:val="nil"/>
              <w:left w:val="nil"/>
              <w:bottom w:val="single" w:sz="4" w:space="0" w:color="auto"/>
              <w:right w:val="single" w:sz="4" w:space="0" w:color="auto"/>
            </w:tcBorders>
            <w:shd w:val="clear" w:color="auto" w:fill="FF7C80"/>
            <w:noWrap/>
            <w:vAlign w:val="bottom"/>
            <w:hideMark/>
          </w:tcPr>
          <w:p w14:paraId="0744104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5931717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58DA13B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4132D2C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3B09B80D"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5D630056"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041 Bourbon County</w:t>
            </w:r>
          </w:p>
        </w:tc>
        <w:tc>
          <w:tcPr>
            <w:tcW w:w="867" w:type="dxa"/>
            <w:tcBorders>
              <w:top w:val="nil"/>
              <w:left w:val="nil"/>
              <w:bottom w:val="single" w:sz="4" w:space="0" w:color="auto"/>
              <w:right w:val="single" w:sz="4" w:space="0" w:color="auto"/>
            </w:tcBorders>
            <w:shd w:val="clear" w:color="auto" w:fill="auto"/>
            <w:noWrap/>
            <w:vAlign w:val="bottom"/>
            <w:hideMark/>
          </w:tcPr>
          <w:p w14:paraId="3A10B943"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2EA006E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4C356AF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38545AAC" w14:textId="54EDC1AC" w:rsidR="00033751" w:rsidRPr="00DA0EC7" w:rsidRDefault="00DA0EC7" w:rsidP="00033751">
            <w:pPr>
              <w:spacing w:after="0" w:line="240" w:lineRule="auto"/>
              <w:jc w:val="center"/>
              <w:rPr>
                <w:rFonts w:eastAsia="Times New Roman"/>
                <w:b/>
                <w:bCs/>
                <w:color w:val="000000"/>
                <w:sz w:val="18"/>
                <w:szCs w:val="18"/>
              </w:rPr>
            </w:pPr>
            <w:r w:rsidRPr="00DA0EC7">
              <w:rPr>
                <w:rFonts w:eastAsia="Times New Roman"/>
                <w:b/>
                <w:bCs/>
                <w:color w:val="000000"/>
                <w:sz w:val="18"/>
                <w:szCs w:val="18"/>
              </w:rPr>
              <w:t>8/17/2023</w:t>
            </w:r>
            <w:r w:rsidR="00033751" w:rsidRPr="00DA0EC7">
              <w:rPr>
                <w:rFonts w:eastAsia="Times New Roman"/>
                <w:b/>
                <w:bCs/>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1727380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569D193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63DD476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24DE139E"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7EE69EF0"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042 Bowling Green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706C63AE"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09390C3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6C96532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5E00C958" w14:textId="77777777" w:rsidR="00033751" w:rsidRPr="00033751" w:rsidRDefault="009B2B8E" w:rsidP="00033751">
            <w:pPr>
              <w:spacing w:after="0" w:line="240" w:lineRule="auto"/>
              <w:jc w:val="center"/>
              <w:rPr>
                <w:rFonts w:eastAsia="Times New Roman"/>
                <w:color w:val="000000"/>
                <w:sz w:val="18"/>
                <w:szCs w:val="18"/>
              </w:rPr>
            </w:pPr>
            <w:r w:rsidRPr="00FD21AD">
              <w:rPr>
                <w:rFonts w:eastAsia="Times New Roman"/>
                <w:color w:val="000000"/>
                <w:sz w:val="18"/>
                <w:szCs w:val="18"/>
              </w:rPr>
              <w:t>6/12/2017</w:t>
            </w:r>
            <w:r w:rsidR="00033751"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5F392E93" w14:textId="77777777" w:rsidR="00033751" w:rsidRPr="004642E5" w:rsidRDefault="00033751" w:rsidP="00033751">
            <w:pPr>
              <w:spacing w:after="0" w:line="240" w:lineRule="auto"/>
              <w:jc w:val="center"/>
              <w:rPr>
                <w:rFonts w:eastAsia="Times New Roman"/>
                <w:color w:val="000000"/>
                <w:sz w:val="18"/>
                <w:szCs w:val="18"/>
              </w:rPr>
            </w:pPr>
            <w:r w:rsidRPr="004642E5">
              <w:rPr>
                <w:rFonts w:eastAsia="Times New Roman"/>
                <w:color w:val="000000"/>
                <w:sz w:val="18"/>
                <w:szCs w:val="18"/>
              </w:rPr>
              <w:t>8/13/2007</w:t>
            </w:r>
          </w:p>
        </w:tc>
        <w:tc>
          <w:tcPr>
            <w:tcW w:w="1214" w:type="dxa"/>
            <w:tcBorders>
              <w:top w:val="nil"/>
              <w:left w:val="nil"/>
              <w:bottom w:val="single" w:sz="4" w:space="0" w:color="auto"/>
              <w:right w:val="single" w:sz="4" w:space="0" w:color="auto"/>
            </w:tcBorders>
            <w:shd w:val="clear" w:color="000000" w:fill="F79646"/>
            <w:noWrap/>
            <w:vAlign w:val="bottom"/>
            <w:hideMark/>
          </w:tcPr>
          <w:p w14:paraId="2FBCB60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75A0620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4EE679EC"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76A36325"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045 Boyd County</w:t>
            </w:r>
          </w:p>
        </w:tc>
        <w:tc>
          <w:tcPr>
            <w:tcW w:w="867" w:type="dxa"/>
            <w:tcBorders>
              <w:top w:val="nil"/>
              <w:left w:val="nil"/>
              <w:bottom w:val="single" w:sz="4" w:space="0" w:color="auto"/>
              <w:right w:val="single" w:sz="4" w:space="0" w:color="auto"/>
            </w:tcBorders>
            <w:shd w:val="clear" w:color="auto" w:fill="auto"/>
            <w:noWrap/>
            <w:vAlign w:val="bottom"/>
            <w:hideMark/>
          </w:tcPr>
          <w:p w14:paraId="751F7EF8"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5456EC1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25AC6C9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62CF0A8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8/24/2009</w:t>
            </w:r>
          </w:p>
        </w:tc>
        <w:tc>
          <w:tcPr>
            <w:tcW w:w="1387" w:type="dxa"/>
            <w:tcBorders>
              <w:top w:val="nil"/>
              <w:left w:val="nil"/>
              <w:bottom w:val="single" w:sz="4" w:space="0" w:color="auto"/>
              <w:right w:val="single" w:sz="4" w:space="0" w:color="auto"/>
            </w:tcBorders>
            <w:shd w:val="clear" w:color="000000" w:fill="CCC0DA"/>
            <w:noWrap/>
            <w:vAlign w:val="bottom"/>
            <w:hideMark/>
          </w:tcPr>
          <w:p w14:paraId="3BD42B9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559A444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1A3A6FF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08AFB165"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7AE04419"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051 Boyle County</w:t>
            </w:r>
          </w:p>
        </w:tc>
        <w:tc>
          <w:tcPr>
            <w:tcW w:w="867" w:type="dxa"/>
            <w:tcBorders>
              <w:top w:val="nil"/>
              <w:left w:val="nil"/>
              <w:bottom w:val="single" w:sz="4" w:space="0" w:color="auto"/>
              <w:right w:val="single" w:sz="4" w:space="0" w:color="auto"/>
            </w:tcBorders>
            <w:shd w:val="clear" w:color="auto" w:fill="auto"/>
            <w:noWrap/>
            <w:vAlign w:val="bottom"/>
            <w:hideMark/>
          </w:tcPr>
          <w:p w14:paraId="08A16C78"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33CAF4F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0C24522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6870019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r w:rsidR="007A1303">
              <w:rPr>
                <w:rFonts w:eastAsia="Times New Roman"/>
                <w:color w:val="000000"/>
                <w:sz w:val="18"/>
                <w:szCs w:val="18"/>
              </w:rPr>
              <w:t>5/21/2015</w:t>
            </w:r>
          </w:p>
        </w:tc>
        <w:tc>
          <w:tcPr>
            <w:tcW w:w="1387" w:type="dxa"/>
            <w:tcBorders>
              <w:top w:val="nil"/>
              <w:left w:val="nil"/>
              <w:bottom w:val="single" w:sz="4" w:space="0" w:color="auto"/>
              <w:right w:val="single" w:sz="4" w:space="0" w:color="auto"/>
            </w:tcBorders>
            <w:shd w:val="clear" w:color="000000" w:fill="CCC0DA"/>
            <w:noWrap/>
            <w:vAlign w:val="bottom"/>
            <w:hideMark/>
          </w:tcPr>
          <w:p w14:paraId="2BF93DB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13C1831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01CF4C5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12853D8E"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57352DBC"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055 Bracken County</w:t>
            </w:r>
          </w:p>
        </w:tc>
        <w:tc>
          <w:tcPr>
            <w:tcW w:w="867" w:type="dxa"/>
            <w:tcBorders>
              <w:top w:val="nil"/>
              <w:left w:val="nil"/>
              <w:bottom w:val="single" w:sz="4" w:space="0" w:color="auto"/>
              <w:right w:val="single" w:sz="4" w:space="0" w:color="auto"/>
            </w:tcBorders>
            <w:shd w:val="clear" w:color="auto" w:fill="auto"/>
            <w:noWrap/>
            <w:vAlign w:val="bottom"/>
            <w:hideMark/>
          </w:tcPr>
          <w:p w14:paraId="2E285F0E"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5DD3578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0FD0CB4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58132D5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72BF7EE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8/29/2005</w:t>
            </w:r>
          </w:p>
        </w:tc>
        <w:tc>
          <w:tcPr>
            <w:tcW w:w="1214" w:type="dxa"/>
            <w:tcBorders>
              <w:top w:val="nil"/>
              <w:left w:val="nil"/>
              <w:bottom w:val="single" w:sz="4" w:space="0" w:color="auto"/>
              <w:right w:val="single" w:sz="4" w:space="0" w:color="auto"/>
            </w:tcBorders>
            <w:shd w:val="clear" w:color="000000" w:fill="F79646"/>
            <w:noWrap/>
            <w:vAlign w:val="bottom"/>
            <w:hideMark/>
          </w:tcPr>
          <w:p w14:paraId="3774606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06A2117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2AFBBA40"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1C9727F6"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061 Breathitt County</w:t>
            </w:r>
          </w:p>
        </w:tc>
        <w:tc>
          <w:tcPr>
            <w:tcW w:w="867" w:type="dxa"/>
            <w:tcBorders>
              <w:top w:val="nil"/>
              <w:left w:val="nil"/>
              <w:bottom w:val="single" w:sz="4" w:space="0" w:color="auto"/>
              <w:right w:val="single" w:sz="4" w:space="0" w:color="auto"/>
            </w:tcBorders>
            <w:shd w:val="clear" w:color="auto" w:fill="auto"/>
            <w:noWrap/>
            <w:vAlign w:val="bottom"/>
            <w:hideMark/>
          </w:tcPr>
          <w:p w14:paraId="6DE4C4C2"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7C5D2FB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1DFDBA89" w14:textId="77777777" w:rsidR="00033751" w:rsidRPr="00FD21AD" w:rsidRDefault="00033751" w:rsidP="00033751">
            <w:pPr>
              <w:spacing w:after="0" w:line="240" w:lineRule="auto"/>
              <w:jc w:val="center"/>
              <w:rPr>
                <w:rFonts w:eastAsia="Times New Roman"/>
                <w:color w:val="000000"/>
                <w:sz w:val="18"/>
                <w:szCs w:val="18"/>
              </w:rPr>
            </w:pPr>
            <w:r w:rsidRPr="00FD21AD">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29E9CEE5" w14:textId="77777777" w:rsidR="00033751" w:rsidRPr="00FD21AD" w:rsidRDefault="0044540C" w:rsidP="00033751">
            <w:pPr>
              <w:spacing w:after="0" w:line="240" w:lineRule="auto"/>
              <w:jc w:val="center"/>
              <w:rPr>
                <w:rFonts w:eastAsia="Times New Roman"/>
                <w:color w:val="000000"/>
                <w:sz w:val="18"/>
                <w:szCs w:val="18"/>
              </w:rPr>
            </w:pPr>
            <w:r w:rsidRPr="00FD21AD">
              <w:rPr>
                <w:rFonts w:eastAsia="Times New Roman"/>
                <w:color w:val="000000"/>
                <w:sz w:val="18"/>
                <w:szCs w:val="18"/>
              </w:rPr>
              <w:t>6/29/2017</w:t>
            </w:r>
            <w:r w:rsidR="00033751" w:rsidRPr="00FD21AD">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09B2F8B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31FC4FE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37935A4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48E66E49"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1624FC46"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065 Breckinridge County</w:t>
            </w:r>
          </w:p>
        </w:tc>
        <w:tc>
          <w:tcPr>
            <w:tcW w:w="867" w:type="dxa"/>
            <w:tcBorders>
              <w:top w:val="nil"/>
              <w:left w:val="nil"/>
              <w:bottom w:val="single" w:sz="4" w:space="0" w:color="auto"/>
              <w:right w:val="single" w:sz="4" w:space="0" w:color="auto"/>
            </w:tcBorders>
            <w:shd w:val="clear" w:color="auto" w:fill="auto"/>
            <w:noWrap/>
            <w:vAlign w:val="bottom"/>
            <w:hideMark/>
          </w:tcPr>
          <w:p w14:paraId="23EEC6CC"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1A4D50E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2324C09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53FD86E5" w14:textId="77777777" w:rsidR="00033751" w:rsidRPr="00033751" w:rsidRDefault="007A1303" w:rsidP="00033751">
            <w:pPr>
              <w:spacing w:after="0" w:line="240" w:lineRule="auto"/>
              <w:jc w:val="center"/>
              <w:rPr>
                <w:rFonts w:eastAsia="Times New Roman"/>
                <w:color w:val="000000"/>
                <w:sz w:val="18"/>
                <w:szCs w:val="18"/>
              </w:rPr>
            </w:pPr>
            <w:r>
              <w:rPr>
                <w:rFonts w:eastAsia="Times New Roman"/>
                <w:color w:val="000000"/>
                <w:sz w:val="18"/>
                <w:szCs w:val="18"/>
              </w:rPr>
              <w:t>9/11/2014</w:t>
            </w:r>
            <w:r w:rsidR="00033751"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402CECD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1685B77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22DB0F4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659F772F"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4B21CFA5"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071 Bullitt County</w:t>
            </w:r>
          </w:p>
        </w:tc>
        <w:tc>
          <w:tcPr>
            <w:tcW w:w="867" w:type="dxa"/>
            <w:tcBorders>
              <w:top w:val="nil"/>
              <w:left w:val="nil"/>
              <w:bottom w:val="single" w:sz="4" w:space="0" w:color="auto"/>
              <w:right w:val="single" w:sz="4" w:space="0" w:color="auto"/>
            </w:tcBorders>
            <w:shd w:val="clear" w:color="auto" w:fill="auto"/>
            <w:noWrap/>
            <w:vAlign w:val="bottom"/>
            <w:hideMark/>
          </w:tcPr>
          <w:p w14:paraId="6B27C0B5"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6F18E2C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9/11/2003</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28C1C6D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9/11/2003</w:t>
            </w:r>
          </w:p>
        </w:tc>
        <w:tc>
          <w:tcPr>
            <w:tcW w:w="1387" w:type="dxa"/>
            <w:tcBorders>
              <w:top w:val="nil"/>
              <w:left w:val="nil"/>
              <w:bottom w:val="single" w:sz="4" w:space="0" w:color="auto"/>
              <w:right w:val="single" w:sz="4" w:space="0" w:color="auto"/>
            </w:tcBorders>
            <w:shd w:val="clear" w:color="auto" w:fill="FF7C80"/>
            <w:noWrap/>
            <w:vAlign w:val="bottom"/>
            <w:hideMark/>
          </w:tcPr>
          <w:p w14:paraId="2CF5DD0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6F2D34D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34516AD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327C4CE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2D9EC1ED"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31AC3F89"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072 Burgin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380E2F1B"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1331EB7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7D22E0B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3E148874" w14:textId="77777777" w:rsidR="00033751" w:rsidRPr="002954F9" w:rsidRDefault="00033751" w:rsidP="00033751">
            <w:pPr>
              <w:spacing w:after="0" w:line="240" w:lineRule="auto"/>
              <w:jc w:val="center"/>
              <w:rPr>
                <w:rFonts w:eastAsia="Times New Roman"/>
                <w:color w:val="000000"/>
                <w:sz w:val="18"/>
                <w:szCs w:val="18"/>
              </w:rPr>
            </w:pPr>
            <w:r w:rsidRPr="002954F9">
              <w:rPr>
                <w:rFonts w:eastAsia="Times New Roman"/>
                <w:color w:val="000000"/>
                <w:sz w:val="18"/>
                <w:szCs w:val="18"/>
              </w:rPr>
              <w:t>8/26/2010</w:t>
            </w:r>
          </w:p>
          <w:p w14:paraId="7DDDA45B" w14:textId="27622129" w:rsidR="00124DDE" w:rsidRPr="002954F9" w:rsidRDefault="00124DDE" w:rsidP="00033751">
            <w:pPr>
              <w:spacing w:after="0" w:line="240" w:lineRule="auto"/>
              <w:jc w:val="center"/>
              <w:rPr>
                <w:rFonts w:eastAsia="Times New Roman"/>
                <w:color w:val="000000"/>
                <w:sz w:val="18"/>
                <w:szCs w:val="18"/>
              </w:rPr>
            </w:pPr>
            <w:r w:rsidRPr="002954F9">
              <w:rPr>
                <w:rFonts w:eastAsia="Times New Roman"/>
                <w:color w:val="000000"/>
                <w:sz w:val="18"/>
                <w:szCs w:val="18"/>
              </w:rPr>
              <w:t>(double)</w:t>
            </w:r>
            <w:r w:rsidR="00085795">
              <w:rPr>
                <w:rFonts w:eastAsia="Times New Roman"/>
                <w:color w:val="000000"/>
                <w:sz w:val="18"/>
                <w:szCs w:val="18"/>
              </w:rPr>
              <w:t>,</w:t>
            </w:r>
          </w:p>
          <w:p w14:paraId="34C3A33B" w14:textId="05B6E500" w:rsidR="00A359CF" w:rsidRPr="00033751" w:rsidRDefault="00A359CF" w:rsidP="00033751">
            <w:pPr>
              <w:spacing w:after="0" w:line="240" w:lineRule="auto"/>
              <w:jc w:val="center"/>
              <w:rPr>
                <w:rFonts w:eastAsia="Times New Roman"/>
                <w:color w:val="000000"/>
                <w:sz w:val="18"/>
                <w:szCs w:val="18"/>
              </w:rPr>
            </w:pPr>
            <w:r w:rsidRPr="002954F9">
              <w:rPr>
                <w:rFonts w:eastAsia="Times New Roman"/>
                <w:color w:val="000000"/>
                <w:sz w:val="18"/>
                <w:szCs w:val="18"/>
              </w:rPr>
              <w:t>11/30/2017</w:t>
            </w:r>
          </w:p>
        </w:tc>
        <w:tc>
          <w:tcPr>
            <w:tcW w:w="1387" w:type="dxa"/>
            <w:tcBorders>
              <w:top w:val="nil"/>
              <w:left w:val="nil"/>
              <w:bottom w:val="single" w:sz="4" w:space="0" w:color="auto"/>
              <w:right w:val="single" w:sz="4" w:space="0" w:color="auto"/>
            </w:tcBorders>
            <w:shd w:val="clear" w:color="000000" w:fill="CCC0DA"/>
            <w:noWrap/>
            <w:vAlign w:val="bottom"/>
            <w:hideMark/>
          </w:tcPr>
          <w:p w14:paraId="5059E72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2405790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0101657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1C85A221"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3E827B50"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075 Butler County</w:t>
            </w:r>
          </w:p>
        </w:tc>
        <w:tc>
          <w:tcPr>
            <w:tcW w:w="867" w:type="dxa"/>
            <w:tcBorders>
              <w:top w:val="nil"/>
              <w:left w:val="nil"/>
              <w:bottom w:val="single" w:sz="4" w:space="0" w:color="auto"/>
              <w:right w:val="single" w:sz="4" w:space="0" w:color="auto"/>
            </w:tcBorders>
            <w:shd w:val="clear" w:color="auto" w:fill="auto"/>
            <w:noWrap/>
            <w:vAlign w:val="bottom"/>
            <w:hideMark/>
          </w:tcPr>
          <w:p w14:paraId="2EC185B7"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513390F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424CA17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10DABD8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32A69EF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3D2D544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0F070CE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33C1E5DA"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4DA97AAB"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081 Caldwell County</w:t>
            </w:r>
          </w:p>
        </w:tc>
        <w:tc>
          <w:tcPr>
            <w:tcW w:w="867" w:type="dxa"/>
            <w:tcBorders>
              <w:top w:val="nil"/>
              <w:left w:val="nil"/>
              <w:bottom w:val="single" w:sz="4" w:space="0" w:color="auto"/>
              <w:right w:val="single" w:sz="4" w:space="0" w:color="auto"/>
            </w:tcBorders>
            <w:shd w:val="clear" w:color="auto" w:fill="auto"/>
            <w:noWrap/>
            <w:vAlign w:val="bottom"/>
            <w:hideMark/>
          </w:tcPr>
          <w:p w14:paraId="79D3D22D"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4E33034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1612A40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642B481A" w14:textId="77777777" w:rsidR="00033751" w:rsidRPr="00033751" w:rsidRDefault="0044540C" w:rsidP="00033751">
            <w:pPr>
              <w:spacing w:after="0" w:line="240" w:lineRule="auto"/>
              <w:jc w:val="center"/>
              <w:rPr>
                <w:rFonts w:eastAsia="Times New Roman"/>
                <w:color w:val="000000"/>
                <w:sz w:val="18"/>
                <w:szCs w:val="18"/>
              </w:rPr>
            </w:pPr>
            <w:r w:rsidRPr="00FD21AD">
              <w:rPr>
                <w:rFonts w:eastAsia="Times New Roman"/>
                <w:color w:val="000000"/>
                <w:sz w:val="18"/>
                <w:szCs w:val="18"/>
              </w:rPr>
              <w:t>4/11/2017</w:t>
            </w:r>
            <w:r w:rsidR="00033751"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6B7A0A0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43E0712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1462F79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31080E48"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309BAF4B"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085 Calloway County</w:t>
            </w:r>
          </w:p>
        </w:tc>
        <w:tc>
          <w:tcPr>
            <w:tcW w:w="867" w:type="dxa"/>
            <w:tcBorders>
              <w:top w:val="nil"/>
              <w:left w:val="nil"/>
              <w:bottom w:val="single" w:sz="4" w:space="0" w:color="auto"/>
              <w:right w:val="single" w:sz="4" w:space="0" w:color="auto"/>
            </w:tcBorders>
            <w:shd w:val="clear" w:color="auto" w:fill="auto"/>
            <w:noWrap/>
            <w:vAlign w:val="bottom"/>
            <w:hideMark/>
          </w:tcPr>
          <w:p w14:paraId="5FA09494"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2E70E4C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3C059F8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3EC5D3D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465C91C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6850913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75E0181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502286BD"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1D18AC5C"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091 Campbell County</w:t>
            </w:r>
          </w:p>
        </w:tc>
        <w:tc>
          <w:tcPr>
            <w:tcW w:w="867" w:type="dxa"/>
            <w:tcBorders>
              <w:top w:val="nil"/>
              <w:left w:val="nil"/>
              <w:bottom w:val="single" w:sz="4" w:space="0" w:color="auto"/>
              <w:right w:val="single" w:sz="4" w:space="0" w:color="auto"/>
            </w:tcBorders>
            <w:shd w:val="clear" w:color="auto" w:fill="auto"/>
            <w:noWrap/>
            <w:vAlign w:val="bottom"/>
            <w:hideMark/>
          </w:tcPr>
          <w:p w14:paraId="569914D8"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49C190F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12/7/1994</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21E410A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4560A3B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2775D91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6F16C60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57B8305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2F4677E4"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5797EF67"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092 Campbellsville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7AC82E16"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6C9D02D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5E83E8A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0581E93A" w14:textId="77777777" w:rsidR="00033751" w:rsidRPr="00033751" w:rsidRDefault="007A1303" w:rsidP="00033751">
            <w:pPr>
              <w:spacing w:after="0" w:line="240" w:lineRule="auto"/>
              <w:jc w:val="center"/>
              <w:rPr>
                <w:rFonts w:eastAsia="Times New Roman"/>
                <w:color w:val="000000"/>
                <w:sz w:val="18"/>
                <w:szCs w:val="18"/>
              </w:rPr>
            </w:pPr>
            <w:r>
              <w:rPr>
                <w:rFonts w:eastAsia="Times New Roman"/>
                <w:color w:val="000000"/>
                <w:sz w:val="18"/>
                <w:szCs w:val="18"/>
              </w:rPr>
              <w:t>8/28/2014</w:t>
            </w:r>
            <w:r w:rsidR="00033751"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63DD084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319333B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77345FA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1DDA9278"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3D7220CC"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095 Carlisle County</w:t>
            </w:r>
          </w:p>
        </w:tc>
        <w:tc>
          <w:tcPr>
            <w:tcW w:w="867" w:type="dxa"/>
            <w:tcBorders>
              <w:top w:val="nil"/>
              <w:left w:val="nil"/>
              <w:bottom w:val="single" w:sz="4" w:space="0" w:color="auto"/>
              <w:right w:val="single" w:sz="4" w:space="0" w:color="auto"/>
            </w:tcBorders>
            <w:shd w:val="clear" w:color="auto" w:fill="auto"/>
            <w:noWrap/>
            <w:vAlign w:val="bottom"/>
            <w:hideMark/>
          </w:tcPr>
          <w:p w14:paraId="5E610A13"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4BCC5E2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7A45FE6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6A3D7A4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9/9/2010</w:t>
            </w:r>
          </w:p>
        </w:tc>
        <w:tc>
          <w:tcPr>
            <w:tcW w:w="1387" w:type="dxa"/>
            <w:tcBorders>
              <w:top w:val="nil"/>
              <w:left w:val="nil"/>
              <w:bottom w:val="single" w:sz="4" w:space="0" w:color="auto"/>
              <w:right w:val="single" w:sz="4" w:space="0" w:color="auto"/>
            </w:tcBorders>
            <w:shd w:val="clear" w:color="000000" w:fill="CCC0DA"/>
            <w:noWrap/>
            <w:vAlign w:val="bottom"/>
            <w:hideMark/>
          </w:tcPr>
          <w:p w14:paraId="5388CCE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422AD02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7F81490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001C9F38"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6531B6AB"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101 Carroll County</w:t>
            </w:r>
          </w:p>
        </w:tc>
        <w:tc>
          <w:tcPr>
            <w:tcW w:w="867" w:type="dxa"/>
            <w:tcBorders>
              <w:top w:val="nil"/>
              <w:left w:val="nil"/>
              <w:bottom w:val="single" w:sz="4" w:space="0" w:color="auto"/>
              <w:right w:val="single" w:sz="4" w:space="0" w:color="auto"/>
            </w:tcBorders>
            <w:shd w:val="clear" w:color="auto" w:fill="auto"/>
            <w:noWrap/>
            <w:vAlign w:val="bottom"/>
            <w:hideMark/>
          </w:tcPr>
          <w:p w14:paraId="3F39BD5A"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2521E98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2107E27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4687B89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5FC125A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0FCEB61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082B4C5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11C6DA60"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6514D340"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105 Carter County</w:t>
            </w:r>
          </w:p>
        </w:tc>
        <w:tc>
          <w:tcPr>
            <w:tcW w:w="867" w:type="dxa"/>
            <w:tcBorders>
              <w:top w:val="nil"/>
              <w:left w:val="nil"/>
              <w:bottom w:val="single" w:sz="4" w:space="0" w:color="auto"/>
              <w:right w:val="single" w:sz="4" w:space="0" w:color="auto"/>
            </w:tcBorders>
            <w:shd w:val="clear" w:color="auto" w:fill="auto"/>
            <w:noWrap/>
            <w:vAlign w:val="bottom"/>
            <w:hideMark/>
          </w:tcPr>
          <w:p w14:paraId="6AF92906"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73A7AD2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02ABD46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14FFE4F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37FF62A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5B793EE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556EABE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9/30/2010</w:t>
            </w:r>
          </w:p>
        </w:tc>
      </w:tr>
      <w:tr w:rsidR="004933DE" w:rsidRPr="00033751" w14:paraId="6430DAB3"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14B45398"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111 Casey County</w:t>
            </w:r>
          </w:p>
        </w:tc>
        <w:tc>
          <w:tcPr>
            <w:tcW w:w="867" w:type="dxa"/>
            <w:tcBorders>
              <w:top w:val="nil"/>
              <w:left w:val="nil"/>
              <w:bottom w:val="single" w:sz="4" w:space="0" w:color="auto"/>
              <w:right w:val="single" w:sz="4" w:space="0" w:color="auto"/>
            </w:tcBorders>
            <w:shd w:val="clear" w:color="auto" w:fill="auto"/>
            <w:noWrap/>
            <w:vAlign w:val="bottom"/>
            <w:hideMark/>
          </w:tcPr>
          <w:p w14:paraId="64F7A2F7"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0B33D92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5F1DF3C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1B1DC78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607C3C4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1921D03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413D354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76E4D6B1"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4142E7EF"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 xml:space="preserve">113 </w:t>
            </w:r>
            <w:proofErr w:type="spellStart"/>
            <w:r w:rsidRPr="00033751">
              <w:rPr>
                <w:rFonts w:eastAsia="Times New Roman"/>
                <w:color w:val="000000"/>
                <w:sz w:val="18"/>
                <w:szCs w:val="18"/>
              </w:rPr>
              <w:t>Caverna</w:t>
            </w:r>
            <w:proofErr w:type="spellEnd"/>
            <w:r w:rsidRPr="00033751">
              <w:rPr>
                <w:rFonts w:eastAsia="Times New Roman"/>
                <w:color w:val="000000"/>
                <w:sz w:val="18"/>
                <w:szCs w:val="18"/>
              </w:rPr>
              <w:t xml:space="preserve">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3EC88CAC"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2EC97BF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02A4EE7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0C5D5F9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7528F03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3E94159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520DCFA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2E1CD469" w14:textId="77777777" w:rsidTr="00F74FEF">
        <w:trPr>
          <w:trHeight w:val="300"/>
        </w:trPr>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D4301"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lastRenderedPageBreak/>
              <w:t>115 Christian County</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05D32"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13942D3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6977FF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auto" w:fill="FF7C80"/>
            <w:noWrap/>
            <w:vAlign w:val="bottom"/>
            <w:hideMark/>
          </w:tcPr>
          <w:p w14:paraId="6D149FD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14:paraId="4B44B9A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single" w:sz="4" w:space="0" w:color="auto"/>
              <w:left w:val="single" w:sz="4" w:space="0" w:color="auto"/>
              <w:bottom w:val="single" w:sz="4" w:space="0" w:color="auto"/>
              <w:right w:val="single" w:sz="4" w:space="0" w:color="auto"/>
            </w:tcBorders>
            <w:shd w:val="clear" w:color="000000" w:fill="F79646"/>
            <w:noWrap/>
            <w:vAlign w:val="bottom"/>
            <w:hideMark/>
          </w:tcPr>
          <w:p w14:paraId="2693C8B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14:paraId="0E88B88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42A7440C" w14:textId="77777777" w:rsidTr="00F74FEF">
        <w:trPr>
          <w:trHeight w:val="300"/>
        </w:trPr>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D9C29"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121 Clark County</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C8678"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332F7E9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9/19/2008</w:t>
            </w:r>
          </w:p>
        </w:tc>
        <w:tc>
          <w:tcPr>
            <w:tcW w:w="1387"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017336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auto" w:fill="FF7C80"/>
            <w:noWrap/>
            <w:vAlign w:val="bottom"/>
            <w:hideMark/>
          </w:tcPr>
          <w:p w14:paraId="551BCF2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14:paraId="26E6279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single" w:sz="4" w:space="0" w:color="auto"/>
              <w:left w:val="single" w:sz="4" w:space="0" w:color="auto"/>
              <w:bottom w:val="single" w:sz="4" w:space="0" w:color="auto"/>
              <w:right w:val="single" w:sz="4" w:space="0" w:color="auto"/>
            </w:tcBorders>
            <w:shd w:val="clear" w:color="000000" w:fill="F79646"/>
            <w:noWrap/>
            <w:vAlign w:val="bottom"/>
            <w:hideMark/>
          </w:tcPr>
          <w:p w14:paraId="6689965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14:paraId="475929D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0F3451D2" w14:textId="77777777" w:rsidTr="00F74FEF">
        <w:trPr>
          <w:trHeight w:val="300"/>
        </w:trPr>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A4E83"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125 Clay County</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2BC60"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37917EF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3C0F6F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auto" w:fill="FF7C80"/>
            <w:noWrap/>
            <w:vAlign w:val="bottom"/>
            <w:hideMark/>
          </w:tcPr>
          <w:p w14:paraId="7CCF39C5" w14:textId="77777777" w:rsidR="00033751" w:rsidRPr="00033751" w:rsidRDefault="00DB14BE" w:rsidP="00033751">
            <w:pPr>
              <w:spacing w:after="0" w:line="240" w:lineRule="auto"/>
              <w:jc w:val="center"/>
              <w:rPr>
                <w:rFonts w:eastAsia="Times New Roman"/>
                <w:color w:val="000000"/>
                <w:sz w:val="18"/>
                <w:szCs w:val="18"/>
              </w:rPr>
            </w:pPr>
            <w:r w:rsidRPr="00FD21AD">
              <w:rPr>
                <w:rFonts w:eastAsia="Times New Roman"/>
                <w:color w:val="000000"/>
                <w:sz w:val="18"/>
                <w:szCs w:val="18"/>
              </w:rPr>
              <w:t>5/26/2017</w:t>
            </w:r>
            <w:r w:rsidR="00033751"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14:paraId="34E824D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single" w:sz="4" w:space="0" w:color="auto"/>
              <w:left w:val="single" w:sz="4" w:space="0" w:color="auto"/>
              <w:bottom w:val="single" w:sz="4" w:space="0" w:color="auto"/>
              <w:right w:val="single" w:sz="4" w:space="0" w:color="auto"/>
            </w:tcBorders>
            <w:shd w:val="clear" w:color="000000" w:fill="F79646"/>
            <w:noWrap/>
            <w:vAlign w:val="bottom"/>
            <w:hideMark/>
          </w:tcPr>
          <w:p w14:paraId="48D92F4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14:paraId="4EF7B05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327F74E2" w14:textId="77777777" w:rsidTr="00F74FEF">
        <w:trPr>
          <w:trHeight w:val="300"/>
        </w:trPr>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3ADD1"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131 Clinton County</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14:paraId="0AA0248A"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single" w:sz="4" w:space="0" w:color="auto"/>
              <w:left w:val="nil"/>
              <w:bottom w:val="single" w:sz="4" w:space="0" w:color="auto"/>
              <w:right w:val="single" w:sz="4" w:space="0" w:color="auto"/>
            </w:tcBorders>
            <w:shd w:val="clear" w:color="auto" w:fill="FFD966" w:themeFill="accent4" w:themeFillTint="99"/>
            <w:vAlign w:val="bottom"/>
            <w:hideMark/>
          </w:tcPr>
          <w:p w14:paraId="3CA66E0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57D8606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nil"/>
              <w:bottom w:val="single" w:sz="4" w:space="0" w:color="auto"/>
              <w:right w:val="single" w:sz="4" w:space="0" w:color="auto"/>
            </w:tcBorders>
            <w:shd w:val="clear" w:color="auto" w:fill="FF7C80"/>
            <w:noWrap/>
            <w:vAlign w:val="bottom"/>
            <w:hideMark/>
          </w:tcPr>
          <w:p w14:paraId="22F7496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nil"/>
              <w:bottom w:val="single" w:sz="4" w:space="0" w:color="auto"/>
              <w:right w:val="single" w:sz="4" w:space="0" w:color="auto"/>
            </w:tcBorders>
            <w:shd w:val="clear" w:color="000000" w:fill="CCC0DA"/>
            <w:noWrap/>
            <w:vAlign w:val="bottom"/>
            <w:hideMark/>
          </w:tcPr>
          <w:p w14:paraId="03C7C32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single" w:sz="4" w:space="0" w:color="auto"/>
              <w:left w:val="nil"/>
              <w:bottom w:val="single" w:sz="4" w:space="0" w:color="auto"/>
              <w:right w:val="single" w:sz="4" w:space="0" w:color="auto"/>
            </w:tcBorders>
            <w:shd w:val="clear" w:color="000000" w:fill="F79646"/>
            <w:noWrap/>
            <w:vAlign w:val="bottom"/>
            <w:hideMark/>
          </w:tcPr>
          <w:p w14:paraId="21971EC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single" w:sz="4" w:space="0" w:color="auto"/>
              <w:left w:val="nil"/>
              <w:bottom w:val="single" w:sz="4" w:space="0" w:color="auto"/>
              <w:right w:val="single" w:sz="4" w:space="0" w:color="auto"/>
            </w:tcBorders>
            <w:shd w:val="clear" w:color="auto" w:fill="A8D08D" w:themeFill="accent6" w:themeFillTint="99"/>
            <w:noWrap/>
            <w:vAlign w:val="bottom"/>
            <w:hideMark/>
          </w:tcPr>
          <w:p w14:paraId="3D8500E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56CFD828"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5EB3BDF8"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 xml:space="preserve">132 </w:t>
            </w:r>
            <w:proofErr w:type="spellStart"/>
            <w:r w:rsidRPr="00033751">
              <w:rPr>
                <w:rFonts w:eastAsia="Times New Roman"/>
                <w:color w:val="000000"/>
                <w:sz w:val="18"/>
                <w:szCs w:val="18"/>
              </w:rPr>
              <w:t>Cloverport</w:t>
            </w:r>
            <w:proofErr w:type="spellEnd"/>
            <w:r w:rsidRPr="00033751">
              <w:rPr>
                <w:rFonts w:eastAsia="Times New Roman"/>
                <w:color w:val="000000"/>
                <w:sz w:val="18"/>
                <w:szCs w:val="18"/>
              </w:rPr>
              <w:t xml:space="preserve">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308BB1F4"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7A36B5D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1FEA7E3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01F851D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2E69048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0DE0150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68927CE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742141BA"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7EA44F9E"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133 Corbin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008F5F7B"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 xml:space="preserve">* </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174EA78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10/23/2003</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3F7EE36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11/3/2005</w:t>
            </w:r>
          </w:p>
        </w:tc>
        <w:tc>
          <w:tcPr>
            <w:tcW w:w="1387" w:type="dxa"/>
            <w:tcBorders>
              <w:top w:val="nil"/>
              <w:left w:val="nil"/>
              <w:bottom w:val="single" w:sz="4" w:space="0" w:color="auto"/>
              <w:right w:val="single" w:sz="4" w:space="0" w:color="auto"/>
            </w:tcBorders>
            <w:shd w:val="clear" w:color="auto" w:fill="FF7C80"/>
            <w:noWrap/>
            <w:vAlign w:val="bottom"/>
            <w:hideMark/>
          </w:tcPr>
          <w:p w14:paraId="01E7C71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33CCC01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50F17E2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5B80B80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624F9E9B"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3AE38491"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134 Covington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45617C3A"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47E796D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1A925A7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7BA4A4EC" w14:textId="448A2ABC" w:rsidR="00033751" w:rsidRPr="00F01980" w:rsidRDefault="00F01980" w:rsidP="00033751">
            <w:pPr>
              <w:spacing w:after="0" w:line="240" w:lineRule="auto"/>
              <w:jc w:val="center"/>
              <w:rPr>
                <w:rFonts w:eastAsia="Times New Roman"/>
                <w:b/>
                <w:bCs/>
                <w:color w:val="000000"/>
                <w:sz w:val="18"/>
                <w:szCs w:val="18"/>
              </w:rPr>
            </w:pPr>
            <w:r w:rsidRPr="00F01980">
              <w:rPr>
                <w:rFonts w:eastAsia="Times New Roman"/>
                <w:b/>
                <w:bCs/>
                <w:color w:val="000000"/>
                <w:sz w:val="18"/>
                <w:szCs w:val="18"/>
              </w:rPr>
              <w:t>8/30/2023</w:t>
            </w:r>
            <w:r w:rsidR="00033751" w:rsidRPr="00F01980">
              <w:rPr>
                <w:rFonts w:eastAsia="Times New Roman"/>
                <w:b/>
                <w:bCs/>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7657E5F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251D6AA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749063B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2A062E14"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238482D7"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135 Crittenden County</w:t>
            </w:r>
          </w:p>
        </w:tc>
        <w:tc>
          <w:tcPr>
            <w:tcW w:w="867" w:type="dxa"/>
            <w:tcBorders>
              <w:top w:val="nil"/>
              <w:left w:val="nil"/>
              <w:bottom w:val="single" w:sz="4" w:space="0" w:color="auto"/>
              <w:right w:val="single" w:sz="4" w:space="0" w:color="auto"/>
            </w:tcBorders>
            <w:shd w:val="clear" w:color="auto" w:fill="auto"/>
            <w:noWrap/>
            <w:vAlign w:val="bottom"/>
            <w:hideMark/>
          </w:tcPr>
          <w:p w14:paraId="2D9C467A"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5F487E0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7B17A5D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5542E88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02DF436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4A29C7B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3FE0B17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1AF81F0B"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4A22800B"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141 Cumberland County</w:t>
            </w:r>
          </w:p>
        </w:tc>
        <w:tc>
          <w:tcPr>
            <w:tcW w:w="867" w:type="dxa"/>
            <w:tcBorders>
              <w:top w:val="nil"/>
              <w:left w:val="nil"/>
              <w:bottom w:val="single" w:sz="4" w:space="0" w:color="auto"/>
              <w:right w:val="single" w:sz="4" w:space="0" w:color="auto"/>
            </w:tcBorders>
            <w:shd w:val="clear" w:color="auto" w:fill="auto"/>
            <w:noWrap/>
            <w:vAlign w:val="bottom"/>
            <w:hideMark/>
          </w:tcPr>
          <w:p w14:paraId="28970A7A"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4579B40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68FD265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52B5E79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8/31/2005</w:t>
            </w:r>
          </w:p>
        </w:tc>
        <w:tc>
          <w:tcPr>
            <w:tcW w:w="1387" w:type="dxa"/>
            <w:tcBorders>
              <w:top w:val="nil"/>
              <w:left w:val="nil"/>
              <w:bottom w:val="single" w:sz="4" w:space="0" w:color="auto"/>
              <w:right w:val="single" w:sz="4" w:space="0" w:color="auto"/>
            </w:tcBorders>
            <w:shd w:val="clear" w:color="000000" w:fill="CCC0DA"/>
            <w:noWrap/>
            <w:vAlign w:val="bottom"/>
            <w:hideMark/>
          </w:tcPr>
          <w:p w14:paraId="2781BCC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373512D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0A207A1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64555EED"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3BCBB14D"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143 Danville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105DBBAE"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76F5BA7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4BFFEA5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33CD9D37" w14:textId="77777777" w:rsidR="00033751" w:rsidRPr="00033751" w:rsidRDefault="007A1303" w:rsidP="00033751">
            <w:pPr>
              <w:spacing w:after="0" w:line="240" w:lineRule="auto"/>
              <w:jc w:val="center"/>
              <w:rPr>
                <w:rFonts w:eastAsia="Times New Roman"/>
                <w:color w:val="000000"/>
                <w:sz w:val="18"/>
                <w:szCs w:val="18"/>
              </w:rPr>
            </w:pPr>
            <w:r>
              <w:rPr>
                <w:rFonts w:eastAsia="Times New Roman"/>
                <w:color w:val="000000"/>
                <w:sz w:val="18"/>
                <w:szCs w:val="18"/>
              </w:rPr>
              <w:t>8/17/2015</w:t>
            </w:r>
            <w:r w:rsidR="00033751"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721514C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2DCA1EC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3E0BC36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2100D2C8"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3A278FA0"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145 Daviess County</w:t>
            </w:r>
          </w:p>
        </w:tc>
        <w:tc>
          <w:tcPr>
            <w:tcW w:w="867" w:type="dxa"/>
            <w:tcBorders>
              <w:top w:val="nil"/>
              <w:left w:val="nil"/>
              <w:bottom w:val="single" w:sz="4" w:space="0" w:color="auto"/>
              <w:right w:val="single" w:sz="4" w:space="0" w:color="auto"/>
            </w:tcBorders>
            <w:shd w:val="clear" w:color="auto" w:fill="auto"/>
            <w:noWrap/>
            <w:vAlign w:val="bottom"/>
            <w:hideMark/>
          </w:tcPr>
          <w:p w14:paraId="1ABDCBB0"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7E3BDB4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10/1/1995</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59572EEB" w14:textId="77777777" w:rsidR="00033751" w:rsidRPr="00FD21AD" w:rsidRDefault="00033751" w:rsidP="00033751">
            <w:pPr>
              <w:spacing w:after="0" w:line="240" w:lineRule="auto"/>
              <w:jc w:val="center"/>
              <w:rPr>
                <w:rFonts w:eastAsia="Times New Roman"/>
                <w:color w:val="000000"/>
                <w:sz w:val="18"/>
                <w:szCs w:val="18"/>
              </w:rPr>
            </w:pPr>
            <w:r w:rsidRPr="00FD21AD">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00AFD334" w14:textId="77777777" w:rsidR="00033751" w:rsidRPr="00FD21AD" w:rsidRDefault="006E07AE" w:rsidP="00033751">
            <w:pPr>
              <w:spacing w:after="0" w:line="240" w:lineRule="auto"/>
              <w:jc w:val="center"/>
              <w:rPr>
                <w:rFonts w:eastAsia="Times New Roman"/>
                <w:color w:val="000000"/>
                <w:sz w:val="18"/>
                <w:szCs w:val="18"/>
              </w:rPr>
            </w:pPr>
            <w:r w:rsidRPr="00FD21AD">
              <w:rPr>
                <w:rFonts w:eastAsia="Times New Roman"/>
                <w:color w:val="000000"/>
                <w:sz w:val="18"/>
                <w:szCs w:val="18"/>
              </w:rPr>
              <w:t>5/16/2017</w:t>
            </w:r>
            <w:r w:rsidR="00033751" w:rsidRPr="00FD21AD">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74461F9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413702C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76727BB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3811A86E"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37A2F83B"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146 Dawson Springs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0219C468"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31907C8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0F055FF3" w14:textId="77777777" w:rsidR="00033751" w:rsidRPr="00FD21AD" w:rsidRDefault="00033751" w:rsidP="00033751">
            <w:pPr>
              <w:spacing w:after="0" w:line="240" w:lineRule="auto"/>
              <w:jc w:val="center"/>
              <w:rPr>
                <w:rFonts w:eastAsia="Times New Roman"/>
                <w:color w:val="000000"/>
                <w:sz w:val="18"/>
                <w:szCs w:val="18"/>
              </w:rPr>
            </w:pPr>
            <w:r w:rsidRPr="00FD21AD">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5C3E93CA" w14:textId="77777777" w:rsidR="00033751" w:rsidRPr="00FD21AD" w:rsidRDefault="00033751" w:rsidP="00033751">
            <w:pPr>
              <w:spacing w:after="0" w:line="240" w:lineRule="auto"/>
              <w:jc w:val="center"/>
              <w:rPr>
                <w:rFonts w:eastAsia="Times New Roman"/>
                <w:color w:val="000000"/>
                <w:sz w:val="18"/>
                <w:szCs w:val="18"/>
              </w:rPr>
            </w:pPr>
            <w:r w:rsidRPr="00FD21AD">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67B8942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2F18B25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617DF44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5EA31612"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18774CDE"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147 Dayton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33CCB060"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4E97108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14626AC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1EA73CAC" w14:textId="77777777" w:rsidR="00124DDE" w:rsidRDefault="00752315" w:rsidP="00033751">
            <w:pPr>
              <w:spacing w:after="0" w:line="240" w:lineRule="auto"/>
              <w:jc w:val="center"/>
              <w:rPr>
                <w:rFonts w:eastAsia="Times New Roman"/>
                <w:color w:val="000000"/>
                <w:sz w:val="18"/>
                <w:szCs w:val="18"/>
              </w:rPr>
            </w:pPr>
            <w:r>
              <w:rPr>
                <w:rFonts w:eastAsia="Times New Roman"/>
                <w:color w:val="000000"/>
                <w:sz w:val="18"/>
                <w:szCs w:val="18"/>
              </w:rPr>
              <w:t>8/23/2021</w:t>
            </w:r>
          </w:p>
          <w:p w14:paraId="60D1DCAF" w14:textId="77777777" w:rsidR="0088638E" w:rsidRDefault="00124DDE" w:rsidP="00033751">
            <w:pPr>
              <w:spacing w:after="0" w:line="240" w:lineRule="auto"/>
              <w:jc w:val="center"/>
              <w:rPr>
                <w:rFonts w:eastAsia="Times New Roman"/>
                <w:color w:val="000000"/>
                <w:sz w:val="18"/>
                <w:szCs w:val="18"/>
              </w:rPr>
            </w:pPr>
            <w:r>
              <w:rPr>
                <w:rFonts w:eastAsia="Times New Roman"/>
                <w:color w:val="000000"/>
                <w:sz w:val="18"/>
                <w:szCs w:val="18"/>
              </w:rPr>
              <w:t>(double)</w:t>
            </w:r>
            <w:r w:rsidR="0088638E">
              <w:rPr>
                <w:rFonts w:eastAsia="Times New Roman"/>
                <w:color w:val="000000"/>
                <w:sz w:val="18"/>
                <w:szCs w:val="18"/>
              </w:rPr>
              <w:t>,</w:t>
            </w:r>
          </w:p>
          <w:p w14:paraId="10CF46F0" w14:textId="667408C3" w:rsidR="00033751" w:rsidRPr="0088638E" w:rsidRDefault="0088638E" w:rsidP="00033751">
            <w:pPr>
              <w:spacing w:after="0" w:line="240" w:lineRule="auto"/>
              <w:jc w:val="center"/>
              <w:rPr>
                <w:rFonts w:eastAsia="Times New Roman"/>
                <w:b/>
                <w:bCs/>
                <w:color w:val="000000"/>
                <w:sz w:val="18"/>
                <w:szCs w:val="18"/>
              </w:rPr>
            </w:pPr>
            <w:r w:rsidRPr="0088638E">
              <w:rPr>
                <w:rFonts w:eastAsia="Times New Roman"/>
                <w:b/>
                <w:bCs/>
                <w:color w:val="000000"/>
                <w:sz w:val="18"/>
                <w:szCs w:val="18"/>
              </w:rPr>
              <w:t>8/23/2023</w:t>
            </w:r>
            <w:r w:rsidR="00033751" w:rsidRPr="0088638E">
              <w:rPr>
                <w:rFonts w:eastAsia="Times New Roman"/>
                <w:b/>
                <w:bCs/>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7AE11E5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2956799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7583DC3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4D6B4D55"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31929B77"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149 East Bernstadt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6062DF6C"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4C221F1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541025B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0A841F0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r w:rsidR="007A1303">
              <w:rPr>
                <w:rFonts w:eastAsia="Times New Roman"/>
                <w:color w:val="000000"/>
                <w:sz w:val="18"/>
                <w:szCs w:val="18"/>
              </w:rPr>
              <w:t>9/10/2014</w:t>
            </w:r>
          </w:p>
        </w:tc>
        <w:tc>
          <w:tcPr>
            <w:tcW w:w="1387" w:type="dxa"/>
            <w:tcBorders>
              <w:top w:val="nil"/>
              <w:left w:val="nil"/>
              <w:bottom w:val="single" w:sz="4" w:space="0" w:color="auto"/>
              <w:right w:val="single" w:sz="4" w:space="0" w:color="auto"/>
            </w:tcBorders>
            <w:shd w:val="clear" w:color="000000" w:fill="CCC0DA"/>
            <w:noWrap/>
            <w:vAlign w:val="bottom"/>
            <w:hideMark/>
          </w:tcPr>
          <w:p w14:paraId="09A6E37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62717EE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371F78D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8/12/2010</w:t>
            </w:r>
          </w:p>
        </w:tc>
      </w:tr>
      <w:tr w:rsidR="004933DE" w:rsidRPr="00033751" w14:paraId="74A0D7BF"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28829A6F"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151 Edmonson County</w:t>
            </w:r>
          </w:p>
        </w:tc>
        <w:tc>
          <w:tcPr>
            <w:tcW w:w="867" w:type="dxa"/>
            <w:tcBorders>
              <w:top w:val="nil"/>
              <w:left w:val="nil"/>
              <w:bottom w:val="single" w:sz="4" w:space="0" w:color="auto"/>
              <w:right w:val="single" w:sz="4" w:space="0" w:color="auto"/>
            </w:tcBorders>
            <w:shd w:val="clear" w:color="auto" w:fill="auto"/>
            <w:noWrap/>
            <w:vAlign w:val="bottom"/>
            <w:hideMark/>
          </w:tcPr>
          <w:p w14:paraId="356B6506"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740F62B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0D4A973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0196F9C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17F861D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2ECE513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3C0DB33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74902280"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5981BAAA"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152 Elizabethtown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60E2E465"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7B60F25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513D28C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32513C6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9/8/2003</w:t>
            </w:r>
          </w:p>
        </w:tc>
        <w:tc>
          <w:tcPr>
            <w:tcW w:w="1387" w:type="dxa"/>
            <w:tcBorders>
              <w:top w:val="nil"/>
              <w:left w:val="nil"/>
              <w:bottom w:val="single" w:sz="4" w:space="0" w:color="auto"/>
              <w:right w:val="single" w:sz="4" w:space="0" w:color="auto"/>
            </w:tcBorders>
            <w:shd w:val="clear" w:color="000000" w:fill="CCC0DA"/>
            <w:noWrap/>
            <w:vAlign w:val="bottom"/>
            <w:hideMark/>
          </w:tcPr>
          <w:p w14:paraId="7187B99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7EE71B0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030511F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088F4A6B" w14:textId="77777777" w:rsidTr="00F74FEF">
        <w:trPr>
          <w:trHeight w:val="300"/>
        </w:trPr>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8718D"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155 Elliott County</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9121B"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10B84E2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99B1EC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auto" w:fill="FF7C80"/>
            <w:noWrap/>
            <w:vAlign w:val="bottom"/>
            <w:hideMark/>
          </w:tcPr>
          <w:p w14:paraId="1EF8DF1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14:paraId="4C930F3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single" w:sz="4" w:space="0" w:color="auto"/>
              <w:left w:val="single" w:sz="4" w:space="0" w:color="auto"/>
              <w:bottom w:val="single" w:sz="4" w:space="0" w:color="auto"/>
              <w:right w:val="single" w:sz="4" w:space="0" w:color="auto"/>
            </w:tcBorders>
            <w:shd w:val="clear" w:color="000000" w:fill="F79646"/>
            <w:noWrap/>
            <w:vAlign w:val="bottom"/>
            <w:hideMark/>
          </w:tcPr>
          <w:p w14:paraId="40BB314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14:paraId="685E668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095B467A" w14:textId="77777777" w:rsidTr="00F74FEF">
        <w:trPr>
          <w:trHeight w:val="300"/>
        </w:trPr>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69F64"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156 Eminence Independent</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14:paraId="70BDCC31"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single" w:sz="4" w:space="0" w:color="auto"/>
              <w:left w:val="nil"/>
              <w:bottom w:val="single" w:sz="4" w:space="0" w:color="auto"/>
              <w:right w:val="single" w:sz="4" w:space="0" w:color="auto"/>
            </w:tcBorders>
            <w:shd w:val="clear" w:color="auto" w:fill="FFD966" w:themeFill="accent4" w:themeFillTint="99"/>
            <w:vAlign w:val="bottom"/>
            <w:hideMark/>
          </w:tcPr>
          <w:p w14:paraId="3C4F603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4C2B3E4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nil"/>
              <w:bottom w:val="single" w:sz="4" w:space="0" w:color="auto"/>
              <w:right w:val="single" w:sz="4" w:space="0" w:color="auto"/>
            </w:tcBorders>
            <w:shd w:val="clear" w:color="auto" w:fill="FF7C80"/>
            <w:noWrap/>
            <w:vAlign w:val="bottom"/>
            <w:hideMark/>
          </w:tcPr>
          <w:p w14:paraId="32000B6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r w:rsidR="008145D7">
              <w:rPr>
                <w:rFonts w:eastAsia="Times New Roman"/>
                <w:color w:val="000000"/>
                <w:sz w:val="18"/>
                <w:szCs w:val="18"/>
              </w:rPr>
              <w:t>8/14/2013</w:t>
            </w:r>
          </w:p>
        </w:tc>
        <w:tc>
          <w:tcPr>
            <w:tcW w:w="1387" w:type="dxa"/>
            <w:tcBorders>
              <w:top w:val="single" w:sz="4" w:space="0" w:color="auto"/>
              <w:left w:val="nil"/>
              <w:bottom w:val="single" w:sz="4" w:space="0" w:color="auto"/>
              <w:right w:val="single" w:sz="4" w:space="0" w:color="auto"/>
            </w:tcBorders>
            <w:shd w:val="clear" w:color="000000" w:fill="CCC0DA"/>
            <w:noWrap/>
            <w:vAlign w:val="bottom"/>
            <w:hideMark/>
          </w:tcPr>
          <w:p w14:paraId="46C1FBF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single" w:sz="4" w:space="0" w:color="auto"/>
              <w:left w:val="nil"/>
              <w:bottom w:val="single" w:sz="4" w:space="0" w:color="auto"/>
              <w:right w:val="single" w:sz="4" w:space="0" w:color="auto"/>
            </w:tcBorders>
            <w:shd w:val="clear" w:color="000000" w:fill="F79646"/>
            <w:noWrap/>
            <w:vAlign w:val="bottom"/>
            <w:hideMark/>
          </w:tcPr>
          <w:p w14:paraId="1AECA14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single" w:sz="4" w:space="0" w:color="auto"/>
              <w:left w:val="nil"/>
              <w:bottom w:val="single" w:sz="4" w:space="0" w:color="auto"/>
              <w:right w:val="single" w:sz="4" w:space="0" w:color="auto"/>
            </w:tcBorders>
            <w:shd w:val="clear" w:color="auto" w:fill="A8D08D" w:themeFill="accent6" w:themeFillTint="99"/>
            <w:noWrap/>
            <w:vAlign w:val="bottom"/>
            <w:hideMark/>
          </w:tcPr>
          <w:p w14:paraId="02F4EE0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45EFEE15"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0DAB6CF3"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157 Erlanger-Elsmere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047F5A59"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24B9B5C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037F604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489D8934" w14:textId="6281EE38" w:rsidR="00033751" w:rsidRPr="0088638E" w:rsidRDefault="0088638E" w:rsidP="00033751">
            <w:pPr>
              <w:spacing w:after="0" w:line="240" w:lineRule="auto"/>
              <w:jc w:val="center"/>
              <w:rPr>
                <w:rFonts w:eastAsia="Times New Roman"/>
                <w:b/>
                <w:bCs/>
                <w:color w:val="000000"/>
                <w:sz w:val="18"/>
                <w:szCs w:val="18"/>
              </w:rPr>
            </w:pPr>
            <w:r w:rsidRPr="0088638E">
              <w:rPr>
                <w:rFonts w:eastAsia="Times New Roman"/>
                <w:b/>
                <w:bCs/>
                <w:color w:val="000000"/>
                <w:sz w:val="18"/>
                <w:szCs w:val="18"/>
              </w:rPr>
              <w:t>8/16/2023</w:t>
            </w:r>
            <w:r w:rsidR="00033751" w:rsidRPr="0088638E">
              <w:rPr>
                <w:rFonts w:eastAsia="Times New Roman"/>
                <w:b/>
                <w:bCs/>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5EA5665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0A53327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34C35DB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64F36404"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208D6DFA"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161 Estill County</w:t>
            </w:r>
          </w:p>
        </w:tc>
        <w:tc>
          <w:tcPr>
            <w:tcW w:w="867" w:type="dxa"/>
            <w:tcBorders>
              <w:top w:val="nil"/>
              <w:left w:val="nil"/>
              <w:bottom w:val="single" w:sz="4" w:space="0" w:color="auto"/>
              <w:right w:val="single" w:sz="4" w:space="0" w:color="auto"/>
            </w:tcBorders>
            <w:shd w:val="clear" w:color="auto" w:fill="auto"/>
            <w:noWrap/>
            <w:vAlign w:val="bottom"/>
            <w:hideMark/>
          </w:tcPr>
          <w:p w14:paraId="6CC0DB32"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3DA6030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24CEF2B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32433CA4" w14:textId="77777777" w:rsidR="00033751" w:rsidRPr="00033751" w:rsidRDefault="00A82451" w:rsidP="00033751">
            <w:pPr>
              <w:spacing w:after="0" w:line="240" w:lineRule="auto"/>
              <w:jc w:val="center"/>
              <w:rPr>
                <w:rFonts w:eastAsia="Times New Roman"/>
                <w:color w:val="000000"/>
                <w:sz w:val="18"/>
                <w:szCs w:val="18"/>
              </w:rPr>
            </w:pPr>
            <w:r w:rsidRPr="00FD21AD">
              <w:rPr>
                <w:rFonts w:eastAsia="Times New Roman"/>
                <w:color w:val="000000"/>
                <w:sz w:val="18"/>
                <w:szCs w:val="18"/>
              </w:rPr>
              <w:t>8/17/2017</w:t>
            </w:r>
            <w:r w:rsidR="00033751"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587A1C5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5F9E41B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554C234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05EB8BA0"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6850D0E1"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162 Fairview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7F6A495C"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2B8D57C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686CD21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31C4BF08" w14:textId="77777777" w:rsidR="00033751" w:rsidRPr="00033751" w:rsidRDefault="004B682C" w:rsidP="00033751">
            <w:pPr>
              <w:spacing w:after="0" w:line="240" w:lineRule="auto"/>
              <w:jc w:val="center"/>
              <w:rPr>
                <w:rFonts w:eastAsia="Times New Roman"/>
                <w:color w:val="000000"/>
                <w:sz w:val="18"/>
                <w:szCs w:val="18"/>
              </w:rPr>
            </w:pPr>
            <w:r>
              <w:rPr>
                <w:rFonts w:eastAsia="Times New Roman"/>
                <w:color w:val="000000"/>
                <w:sz w:val="18"/>
                <w:szCs w:val="18"/>
              </w:rPr>
              <w:t>11/26/2018</w:t>
            </w:r>
          </w:p>
        </w:tc>
        <w:tc>
          <w:tcPr>
            <w:tcW w:w="1387" w:type="dxa"/>
            <w:tcBorders>
              <w:top w:val="nil"/>
              <w:left w:val="nil"/>
              <w:bottom w:val="single" w:sz="4" w:space="0" w:color="auto"/>
              <w:right w:val="single" w:sz="4" w:space="0" w:color="auto"/>
            </w:tcBorders>
            <w:shd w:val="clear" w:color="000000" w:fill="CCC0DA"/>
            <w:noWrap/>
            <w:vAlign w:val="bottom"/>
            <w:hideMark/>
          </w:tcPr>
          <w:p w14:paraId="63E1675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5946D28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0D07F91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334F3132"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3858294E"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165 Fayette County</w:t>
            </w:r>
          </w:p>
        </w:tc>
        <w:tc>
          <w:tcPr>
            <w:tcW w:w="867" w:type="dxa"/>
            <w:tcBorders>
              <w:top w:val="nil"/>
              <w:left w:val="nil"/>
              <w:bottom w:val="single" w:sz="4" w:space="0" w:color="auto"/>
              <w:right w:val="single" w:sz="4" w:space="0" w:color="auto"/>
            </w:tcBorders>
            <w:shd w:val="clear" w:color="auto" w:fill="auto"/>
            <w:noWrap/>
            <w:vAlign w:val="bottom"/>
            <w:hideMark/>
          </w:tcPr>
          <w:p w14:paraId="2935674F"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00C9109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3C8EA1B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46DDAA31" w14:textId="523062BA" w:rsidR="00033751" w:rsidRPr="0047465C" w:rsidRDefault="001F1CC7" w:rsidP="00033751">
            <w:pPr>
              <w:spacing w:after="0" w:line="240" w:lineRule="auto"/>
              <w:jc w:val="center"/>
              <w:rPr>
                <w:rFonts w:eastAsia="Times New Roman"/>
                <w:b/>
                <w:bCs/>
                <w:color w:val="000000"/>
                <w:sz w:val="18"/>
                <w:szCs w:val="18"/>
              </w:rPr>
            </w:pPr>
            <w:r w:rsidRPr="0047465C">
              <w:rPr>
                <w:rFonts w:eastAsia="Times New Roman"/>
                <w:b/>
                <w:bCs/>
                <w:color w:val="000000"/>
                <w:sz w:val="18"/>
                <w:szCs w:val="18"/>
              </w:rPr>
              <w:t>9/8/2022</w:t>
            </w:r>
            <w:r w:rsidR="00033751" w:rsidRPr="0047465C">
              <w:rPr>
                <w:rFonts w:eastAsia="Times New Roman"/>
                <w:b/>
                <w:bCs/>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40D6E32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0ED548B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2752ECB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31F611E2"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001F1E6A"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171 Fleming County</w:t>
            </w:r>
          </w:p>
        </w:tc>
        <w:tc>
          <w:tcPr>
            <w:tcW w:w="867" w:type="dxa"/>
            <w:tcBorders>
              <w:top w:val="nil"/>
              <w:left w:val="nil"/>
              <w:bottom w:val="single" w:sz="4" w:space="0" w:color="auto"/>
              <w:right w:val="single" w:sz="4" w:space="0" w:color="auto"/>
            </w:tcBorders>
            <w:shd w:val="clear" w:color="auto" w:fill="auto"/>
            <w:noWrap/>
            <w:vAlign w:val="bottom"/>
            <w:hideMark/>
          </w:tcPr>
          <w:p w14:paraId="44DE746A"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2524F14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1549392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3522CA3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12B45E2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2C8D8EA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4DA79B1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10/6/2010</w:t>
            </w:r>
          </w:p>
        </w:tc>
      </w:tr>
      <w:tr w:rsidR="004933DE" w:rsidRPr="00033751" w14:paraId="00709D8D"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4818D1FC"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175 Floyd County</w:t>
            </w:r>
          </w:p>
        </w:tc>
        <w:tc>
          <w:tcPr>
            <w:tcW w:w="867" w:type="dxa"/>
            <w:tcBorders>
              <w:top w:val="nil"/>
              <w:left w:val="nil"/>
              <w:bottom w:val="single" w:sz="4" w:space="0" w:color="auto"/>
              <w:right w:val="single" w:sz="4" w:space="0" w:color="auto"/>
            </w:tcBorders>
            <w:shd w:val="clear" w:color="auto" w:fill="auto"/>
            <w:noWrap/>
            <w:vAlign w:val="bottom"/>
            <w:hideMark/>
          </w:tcPr>
          <w:p w14:paraId="7B3C83F0"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5B9E94C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6DBDB90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226F5619" w14:textId="77777777" w:rsidR="00033751" w:rsidRPr="00033751" w:rsidRDefault="008145D7" w:rsidP="008145D7">
            <w:pPr>
              <w:spacing w:after="0" w:line="240" w:lineRule="auto"/>
              <w:jc w:val="center"/>
              <w:rPr>
                <w:rFonts w:eastAsia="Times New Roman"/>
                <w:color w:val="000000"/>
                <w:sz w:val="18"/>
                <w:szCs w:val="18"/>
              </w:rPr>
            </w:pPr>
            <w:r>
              <w:rPr>
                <w:rFonts w:eastAsia="Times New Roman"/>
                <w:color w:val="000000"/>
                <w:sz w:val="18"/>
                <w:szCs w:val="18"/>
              </w:rPr>
              <w:t>8/22/2013</w:t>
            </w:r>
            <w:r w:rsidR="00033751"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2446C4F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49FE0C7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3230426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68496C8E"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7B58D0CF"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176 Fort Thomas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194F83F2"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1A85ABC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8/1/1995</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151B314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4F3F528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4B4DF30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087192F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0820AAE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79698C7D"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63D68177"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177 Frankfort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37319211"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03BD55D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1193E84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3AFF0897" w14:textId="77777777" w:rsidR="00085795" w:rsidRDefault="00D64792" w:rsidP="00033751">
            <w:pPr>
              <w:spacing w:after="0" w:line="240" w:lineRule="auto"/>
              <w:jc w:val="center"/>
              <w:rPr>
                <w:rFonts w:eastAsia="Times New Roman"/>
                <w:color w:val="000000"/>
                <w:sz w:val="18"/>
                <w:szCs w:val="18"/>
              </w:rPr>
            </w:pPr>
            <w:r>
              <w:rPr>
                <w:rFonts w:eastAsia="Times New Roman"/>
                <w:color w:val="000000"/>
                <w:sz w:val="18"/>
                <w:szCs w:val="18"/>
              </w:rPr>
              <w:t>9/19/2016</w:t>
            </w:r>
          </w:p>
          <w:p w14:paraId="7242182C" w14:textId="258B553C" w:rsidR="00033751" w:rsidRPr="00172206" w:rsidRDefault="00085795" w:rsidP="00033751">
            <w:pPr>
              <w:spacing w:after="0" w:line="240" w:lineRule="auto"/>
              <w:jc w:val="center"/>
              <w:rPr>
                <w:rFonts w:eastAsia="Times New Roman"/>
                <w:b/>
                <w:bCs/>
                <w:color w:val="000000"/>
                <w:sz w:val="18"/>
                <w:szCs w:val="18"/>
              </w:rPr>
            </w:pPr>
            <w:r w:rsidRPr="00172206">
              <w:rPr>
                <w:rFonts w:eastAsia="Times New Roman"/>
                <w:b/>
                <w:bCs/>
                <w:color w:val="000000"/>
                <w:sz w:val="18"/>
                <w:szCs w:val="18"/>
              </w:rPr>
              <w:t>9/7/2023</w:t>
            </w:r>
            <w:r w:rsidR="00033751" w:rsidRPr="00172206">
              <w:rPr>
                <w:rFonts w:eastAsia="Times New Roman"/>
                <w:b/>
                <w:bCs/>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6CA634E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3F48C24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6551424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3771563C"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613F95AA"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181 Franklin County</w:t>
            </w:r>
          </w:p>
        </w:tc>
        <w:tc>
          <w:tcPr>
            <w:tcW w:w="867" w:type="dxa"/>
            <w:tcBorders>
              <w:top w:val="nil"/>
              <w:left w:val="nil"/>
              <w:bottom w:val="single" w:sz="4" w:space="0" w:color="auto"/>
              <w:right w:val="single" w:sz="4" w:space="0" w:color="auto"/>
            </w:tcBorders>
            <w:shd w:val="clear" w:color="auto" w:fill="auto"/>
            <w:noWrap/>
            <w:vAlign w:val="bottom"/>
            <w:hideMark/>
          </w:tcPr>
          <w:p w14:paraId="5F5D7725"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1FB09ED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55CB1E4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6C55B17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9/15/2003</w:t>
            </w:r>
          </w:p>
        </w:tc>
        <w:tc>
          <w:tcPr>
            <w:tcW w:w="1387" w:type="dxa"/>
            <w:tcBorders>
              <w:top w:val="nil"/>
              <w:left w:val="nil"/>
              <w:bottom w:val="single" w:sz="4" w:space="0" w:color="auto"/>
              <w:right w:val="single" w:sz="4" w:space="0" w:color="auto"/>
            </w:tcBorders>
            <w:shd w:val="clear" w:color="000000" w:fill="CCC0DA"/>
            <w:noWrap/>
            <w:vAlign w:val="bottom"/>
            <w:hideMark/>
          </w:tcPr>
          <w:p w14:paraId="2E86A92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7F14258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42F1204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44F357B0"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120605FB"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185 Fulton County</w:t>
            </w:r>
          </w:p>
        </w:tc>
        <w:tc>
          <w:tcPr>
            <w:tcW w:w="867" w:type="dxa"/>
            <w:tcBorders>
              <w:top w:val="nil"/>
              <w:left w:val="nil"/>
              <w:bottom w:val="single" w:sz="4" w:space="0" w:color="auto"/>
              <w:right w:val="single" w:sz="4" w:space="0" w:color="auto"/>
            </w:tcBorders>
            <w:shd w:val="clear" w:color="auto" w:fill="auto"/>
            <w:noWrap/>
            <w:vAlign w:val="bottom"/>
            <w:hideMark/>
          </w:tcPr>
          <w:p w14:paraId="0C201AEB"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46B56DB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393E856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2E90B9A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012F117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05BDB4E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59D113D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2EDF183C"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4677CC16"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186 Fulton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7CDD36F7"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4D928CC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0A30840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02465F3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60C02DF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47B0BDF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62749E0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0CA2E5B8"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3FB17749"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191 Gallatin County</w:t>
            </w:r>
          </w:p>
        </w:tc>
        <w:tc>
          <w:tcPr>
            <w:tcW w:w="867" w:type="dxa"/>
            <w:tcBorders>
              <w:top w:val="nil"/>
              <w:left w:val="nil"/>
              <w:bottom w:val="single" w:sz="4" w:space="0" w:color="auto"/>
              <w:right w:val="single" w:sz="4" w:space="0" w:color="auto"/>
            </w:tcBorders>
            <w:shd w:val="clear" w:color="auto" w:fill="auto"/>
            <w:noWrap/>
            <w:vAlign w:val="bottom"/>
            <w:hideMark/>
          </w:tcPr>
          <w:p w14:paraId="1639FBEC"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49823C6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8/28/2000</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24538FE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34C3BCD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7/22/2005</w:t>
            </w:r>
          </w:p>
        </w:tc>
        <w:tc>
          <w:tcPr>
            <w:tcW w:w="1387" w:type="dxa"/>
            <w:tcBorders>
              <w:top w:val="nil"/>
              <w:left w:val="nil"/>
              <w:bottom w:val="single" w:sz="4" w:space="0" w:color="auto"/>
              <w:right w:val="single" w:sz="4" w:space="0" w:color="auto"/>
            </w:tcBorders>
            <w:shd w:val="clear" w:color="000000" w:fill="CCC0DA"/>
            <w:noWrap/>
            <w:vAlign w:val="bottom"/>
            <w:hideMark/>
          </w:tcPr>
          <w:p w14:paraId="5430B25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6B358CF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006DBAC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53FBEA11"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605388A1"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195 Garrard County</w:t>
            </w:r>
          </w:p>
        </w:tc>
        <w:tc>
          <w:tcPr>
            <w:tcW w:w="867" w:type="dxa"/>
            <w:tcBorders>
              <w:top w:val="nil"/>
              <w:left w:val="nil"/>
              <w:bottom w:val="single" w:sz="4" w:space="0" w:color="auto"/>
              <w:right w:val="single" w:sz="4" w:space="0" w:color="auto"/>
            </w:tcBorders>
            <w:shd w:val="clear" w:color="auto" w:fill="auto"/>
            <w:noWrap/>
            <w:vAlign w:val="bottom"/>
            <w:hideMark/>
          </w:tcPr>
          <w:p w14:paraId="7FAD6416"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39E58F3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4/27/2000</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36B2ED3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8/21/2003</w:t>
            </w:r>
          </w:p>
        </w:tc>
        <w:tc>
          <w:tcPr>
            <w:tcW w:w="1387" w:type="dxa"/>
            <w:tcBorders>
              <w:top w:val="nil"/>
              <w:left w:val="nil"/>
              <w:bottom w:val="single" w:sz="4" w:space="0" w:color="auto"/>
              <w:right w:val="single" w:sz="4" w:space="0" w:color="auto"/>
            </w:tcBorders>
            <w:shd w:val="clear" w:color="auto" w:fill="FF7C80"/>
            <w:noWrap/>
            <w:vAlign w:val="bottom"/>
            <w:hideMark/>
          </w:tcPr>
          <w:p w14:paraId="094258F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515B4E8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36E13CC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79E4A78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03EDED8F"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024F6A1E"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197 Glasgow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3BA6AF81"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04A7C0F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32A2405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158BDC9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8/26/2009</w:t>
            </w:r>
          </w:p>
        </w:tc>
        <w:tc>
          <w:tcPr>
            <w:tcW w:w="1387" w:type="dxa"/>
            <w:tcBorders>
              <w:top w:val="nil"/>
              <w:left w:val="nil"/>
              <w:bottom w:val="single" w:sz="4" w:space="0" w:color="auto"/>
              <w:right w:val="single" w:sz="4" w:space="0" w:color="auto"/>
            </w:tcBorders>
            <w:shd w:val="clear" w:color="000000" w:fill="CCC0DA"/>
            <w:noWrap/>
            <w:vAlign w:val="bottom"/>
            <w:hideMark/>
          </w:tcPr>
          <w:p w14:paraId="319A7E8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0EF4A33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5A2621D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3D825949"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59BF4B5C"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201 Grant County</w:t>
            </w:r>
          </w:p>
        </w:tc>
        <w:tc>
          <w:tcPr>
            <w:tcW w:w="867" w:type="dxa"/>
            <w:tcBorders>
              <w:top w:val="nil"/>
              <w:left w:val="nil"/>
              <w:bottom w:val="single" w:sz="4" w:space="0" w:color="auto"/>
              <w:right w:val="single" w:sz="4" w:space="0" w:color="auto"/>
            </w:tcBorders>
            <w:shd w:val="clear" w:color="auto" w:fill="auto"/>
            <w:noWrap/>
            <w:vAlign w:val="bottom"/>
            <w:hideMark/>
          </w:tcPr>
          <w:p w14:paraId="1ABADC0B"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0D9860C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8/1/1995</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29C4558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9/11/2003</w:t>
            </w:r>
          </w:p>
        </w:tc>
        <w:tc>
          <w:tcPr>
            <w:tcW w:w="1387" w:type="dxa"/>
            <w:tcBorders>
              <w:top w:val="nil"/>
              <w:left w:val="nil"/>
              <w:bottom w:val="single" w:sz="4" w:space="0" w:color="auto"/>
              <w:right w:val="single" w:sz="4" w:space="0" w:color="auto"/>
            </w:tcBorders>
            <w:shd w:val="clear" w:color="auto" w:fill="FF7C80"/>
            <w:noWrap/>
            <w:vAlign w:val="bottom"/>
            <w:hideMark/>
          </w:tcPr>
          <w:p w14:paraId="6C12FE1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2FAA28C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2DEAEFC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28FE43F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5A6410FD"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4CA81757"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205 Graves County</w:t>
            </w:r>
          </w:p>
        </w:tc>
        <w:tc>
          <w:tcPr>
            <w:tcW w:w="867" w:type="dxa"/>
            <w:tcBorders>
              <w:top w:val="nil"/>
              <w:left w:val="nil"/>
              <w:bottom w:val="single" w:sz="4" w:space="0" w:color="auto"/>
              <w:right w:val="single" w:sz="4" w:space="0" w:color="auto"/>
            </w:tcBorders>
            <w:shd w:val="clear" w:color="auto" w:fill="auto"/>
            <w:noWrap/>
            <w:vAlign w:val="bottom"/>
            <w:hideMark/>
          </w:tcPr>
          <w:p w14:paraId="67944BEE"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3F31D5C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75E432B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4E79E85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35D2963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6AD887B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0FDADD2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3D6F6080"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4BECAD99"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211 Grayson County</w:t>
            </w:r>
          </w:p>
        </w:tc>
        <w:tc>
          <w:tcPr>
            <w:tcW w:w="867" w:type="dxa"/>
            <w:tcBorders>
              <w:top w:val="nil"/>
              <w:left w:val="nil"/>
              <w:bottom w:val="single" w:sz="4" w:space="0" w:color="auto"/>
              <w:right w:val="single" w:sz="4" w:space="0" w:color="auto"/>
            </w:tcBorders>
            <w:shd w:val="clear" w:color="auto" w:fill="auto"/>
            <w:noWrap/>
            <w:vAlign w:val="bottom"/>
            <w:hideMark/>
          </w:tcPr>
          <w:p w14:paraId="51CCB1CE"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34CE02E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5E52344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12AD6CC1" w14:textId="216CA813" w:rsidR="00033751" w:rsidRPr="00172206" w:rsidRDefault="00172206" w:rsidP="00033751">
            <w:pPr>
              <w:spacing w:after="0" w:line="240" w:lineRule="auto"/>
              <w:jc w:val="center"/>
              <w:rPr>
                <w:rFonts w:eastAsia="Times New Roman"/>
                <w:b/>
                <w:bCs/>
                <w:color w:val="000000"/>
                <w:sz w:val="18"/>
                <w:szCs w:val="18"/>
              </w:rPr>
            </w:pPr>
            <w:r w:rsidRPr="00172206">
              <w:rPr>
                <w:rFonts w:eastAsia="Times New Roman"/>
                <w:b/>
                <w:bCs/>
                <w:color w:val="000000"/>
                <w:sz w:val="18"/>
                <w:szCs w:val="18"/>
              </w:rPr>
              <w:t>5/8/2023</w:t>
            </w:r>
            <w:r w:rsidR="00033751" w:rsidRPr="00172206">
              <w:rPr>
                <w:rFonts w:eastAsia="Times New Roman"/>
                <w:b/>
                <w:bCs/>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2231E87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6FB06B4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5E1096A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6EF306DE"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74D5E94F"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215 Green County</w:t>
            </w:r>
          </w:p>
        </w:tc>
        <w:tc>
          <w:tcPr>
            <w:tcW w:w="867" w:type="dxa"/>
            <w:tcBorders>
              <w:top w:val="nil"/>
              <w:left w:val="nil"/>
              <w:bottom w:val="single" w:sz="4" w:space="0" w:color="auto"/>
              <w:right w:val="single" w:sz="4" w:space="0" w:color="auto"/>
            </w:tcBorders>
            <w:shd w:val="clear" w:color="auto" w:fill="auto"/>
            <w:noWrap/>
            <w:vAlign w:val="bottom"/>
            <w:hideMark/>
          </w:tcPr>
          <w:p w14:paraId="4D648198"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23CC94D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7A76AFC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3643586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8/27/2007</w:t>
            </w:r>
          </w:p>
        </w:tc>
        <w:tc>
          <w:tcPr>
            <w:tcW w:w="1387" w:type="dxa"/>
            <w:tcBorders>
              <w:top w:val="nil"/>
              <w:left w:val="nil"/>
              <w:bottom w:val="single" w:sz="4" w:space="0" w:color="auto"/>
              <w:right w:val="single" w:sz="4" w:space="0" w:color="auto"/>
            </w:tcBorders>
            <w:shd w:val="clear" w:color="000000" w:fill="CCC0DA"/>
            <w:noWrap/>
            <w:vAlign w:val="bottom"/>
            <w:hideMark/>
          </w:tcPr>
          <w:p w14:paraId="50A3A79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3161E1F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13278A5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4F9D0FF3"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7C5B55A0"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221 Greenup County</w:t>
            </w:r>
          </w:p>
        </w:tc>
        <w:tc>
          <w:tcPr>
            <w:tcW w:w="867" w:type="dxa"/>
            <w:tcBorders>
              <w:top w:val="nil"/>
              <w:left w:val="nil"/>
              <w:bottom w:val="single" w:sz="4" w:space="0" w:color="auto"/>
              <w:right w:val="single" w:sz="4" w:space="0" w:color="auto"/>
            </w:tcBorders>
            <w:shd w:val="clear" w:color="auto" w:fill="auto"/>
            <w:noWrap/>
            <w:vAlign w:val="bottom"/>
            <w:hideMark/>
          </w:tcPr>
          <w:p w14:paraId="56F0D961"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70D03A9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7F65E48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02FD68DD" w14:textId="48B6DF20" w:rsidR="00033751" w:rsidRPr="00AD2C0D" w:rsidRDefault="00AD2C0D" w:rsidP="00033751">
            <w:pPr>
              <w:spacing w:after="0" w:line="240" w:lineRule="auto"/>
              <w:jc w:val="center"/>
              <w:rPr>
                <w:rFonts w:eastAsia="Times New Roman"/>
                <w:b/>
                <w:bCs/>
                <w:color w:val="000000"/>
                <w:sz w:val="18"/>
                <w:szCs w:val="18"/>
              </w:rPr>
            </w:pPr>
            <w:r w:rsidRPr="00AD2C0D">
              <w:rPr>
                <w:rFonts w:eastAsia="Times New Roman"/>
                <w:b/>
                <w:bCs/>
                <w:color w:val="000000"/>
                <w:sz w:val="18"/>
                <w:szCs w:val="18"/>
              </w:rPr>
              <w:t>5/22/2023</w:t>
            </w:r>
            <w:r w:rsidR="00033751" w:rsidRPr="00AD2C0D">
              <w:rPr>
                <w:rFonts w:eastAsia="Times New Roman"/>
                <w:b/>
                <w:bCs/>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4EAC9AF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4EC19D7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74C1F33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61638528"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5779BE4F"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lastRenderedPageBreak/>
              <w:t>225 Hancock County</w:t>
            </w:r>
          </w:p>
        </w:tc>
        <w:tc>
          <w:tcPr>
            <w:tcW w:w="867" w:type="dxa"/>
            <w:tcBorders>
              <w:top w:val="nil"/>
              <w:left w:val="nil"/>
              <w:bottom w:val="single" w:sz="4" w:space="0" w:color="auto"/>
              <w:right w:val="single" w:sz="4" w:space="0" w:color="auto"/>
            </w:tcBorders>
            <w:shd w:val="clear" w:color="auto" w:fill="auto"/>
            <w:noWrap/>
            <w:vAlign w:val="bottom"/>
            <w:hideMark/>
          </w:tcPr>
          <w:p w14:paraId="7486BF27"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70602EE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34F552B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4273838F" w14:textId="77777777" w:rsidR="00033751" w:rsidRPr="00033751" w:rsidRDefault="00A462EE" w:rsidP="00033751">
            <w:pPr>
              <w:spacing w:after="0" w:line="240" w:lineRule="auto"/>
              <w:jc w:val="center"/>
              <w:rPr>
                <w:rFonts w:eastAsia="Times New Roman"/>
                <w:color w:val="000000"/>
                <w:sz w:val="18"/>
                <w:szCs w:val="18"/>
              </w:rPr>
            </w:pPr>
            <w:r>
              <w:rPr>
                <w:rFonts w:eastAsia="Times New Roman"/>
                <w:color w:val="000000"/>
                <w:sz w:val="18"/>
                <w:szCs w:val="18"/>
              </w:rPr>
              <w:t>8/22/2019</w:t>
            </w:r>
            <w:r w:rsidR="00033751"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648AE48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3F6F131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233C750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42B7E28E" w14:textId="77777777" w:rsidTr="00F74FEF">
        <w:trPr>
          <w:trHeight w:val="300"/>
        </w:trPr>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83F06"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231 Hardin County</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6ADCE"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0E96B5D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9/5/2006</w:t>
            </w:r>
          </w:p>
        </w:tc>
        <w:tc>
          <w:tcPr>
            <w:tcW w:w="1387"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6CBCD3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auto" w:fill="FF7C80"/>
            <w:noWrap/>
            <w:vAlign w:val="bottom"/>
            <w:hideMark/>
          </w:tcPr>
          <w:p w14:paraId="138C2FA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14:paraId="040C61B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single" w:sz="4" w:space="0" w:color="auto"/>
              <w:left w:val="single" w:sz="4" w:space="0" w:color="auto"/>
              <w:bottom w:val="single" w:sz="4" w:space="0" w:color="auto"/>
              <w:right w:val="single" w:sz="4" w:space="0" w:color="auto"/>
            </w:tcBorders>
            <w:shd w:val="clear" w:color="000000" w:fill="F79646"/>
            <w:noWrap/>
            <w:vAlign w:val="bottom"/>
            <w:hideMark/>
          </w:tcPr>
          <w:p w14:paraId="6A0CCF9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8/23/2010</w:t>
            </w:r>
          </w:p>
        </w:tc>
        <w:tc>
          <w:tcPr>
            <w:tcW w:w="1197"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14:paraId="0883C8B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36A7FC14" w14:textId="77777777" w:rsidTr="00F74FEF">
        <w:trPr>
          <w:trHeight w:val="300"/>
        </w:trPr>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B45C4"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235 Harlan County</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14:paraId="4B30446C"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single" w:sz="4" w:space="0" w:color="auto"/>
              <w:left w:val="nil"/>
              <w:bottom w:val="single" w:sz="4" w:space="0" w:color="auto"/>
              <w:right w:val="single" w:sz="4" w:space="0" w:color="auto"/>
            </w:tcBorders>
            <w:shd w:val="clear" w:color="auto" w:fill="FFD966" w:themeFill="accent4" w:themeFillTint="99"/>
            <w:vAlign w:val="bottom"/>
            <w:hideMark/>
          </w:tcPr>
          <w:p w14:paraId="15BDC35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2BFCC8B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nil"/>
              <w:bottom w:val="single" w:sz="4" w:space="0" w:color="auto"/>
              <w:right w:val="single" w:sz="4" w:space="0" w:color="auto"/>
            </w:tcBorders>
            <w:shd w:val="clear" w:color="auto" w:fill="FF7C80"/>
            <w:noWrap/>
            <w:vAlign w:val="bottom"/>
            <w:hideMark/>
          </w:tcPr>
          <w:p w14:paraId="1BACC69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nil"/>
              <w:bottom w:val="single" w:sz="4" w:space="0" w:color="auto"/>
              <w:right w:val="single" w:sz="4" w:space="0" w:color="auto"/>
            </w:tcBorders>
            <w:shd w:val="clear" w:color="000000" w:fill="CCC0DA"/>
            <w:noWrap/>
            <w:vAlign w:val="bottom"/>
            <w:hideMark/>
          </w:tcPr>
          <w:p w14:paraId="4E4C160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single" w:sz="4" w:space="0" w:color="auto"/>
              <w:left w:val="nil"/>
              <w:bottom w:val="single" w:sz="4" w:space="0" w:color="auto"/>
              <w:right w:val="single" w:sz="4" w:space="0" w:color="auto"/>
            </w:tcBorders>
            <w:shd w:val="clear" w:color="000000" w:fill="F79646"/>
            <w:noWrap/>
            <w:vAlign w:val="bottom"/>
            <w:hideMark/>
          </w:tcPr>
          <w:p w14:paraId="57F4FB3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single" w:sz="4" w:space="0" w:color="auto"/>
              <w:left w:val="nil"/>
              <w:bottom w:val="single" w:sz="4" w:space="0" w:color="auto"/>
              <w:right w:val="single" w:sz="4" w:space="0" w:color="auto"/>
            </w:tcBorders>
            <w:shd w:val="clear" w:color="auto" w:fill="A8D08D" w:themeFill="accent6" w:themeFillTint="99"/>
            <w:noWrap/>
            <w:vAlign w:val="bottom"/>
            <w:hideMark/>
          </w:tcPr>
          <w:p w14:paraId="6C55E7B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22C45DFA" w14:textId="77777777" w:rsidTr="00F74FEF">
        <w:trPr>
          <w:trHeight w:val="300"/>
        </w:trPr>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E4A94"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236 Harlan Independent</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FFC43"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4F7D70C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A5C655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auto" w:fill="FF7C80"/>
            <w:noWrap/>
            <w:vAlign w:val="bottom"/>
            <w:hideMark/>
          </w:tcPr>
          <w:p w14:paraId="65A8E61D" w14:textId="20984614" w:rsidR="00033751" w:rsidRPr="00033751" w:rsidRDefault="003330F7" w:rsidP="00033751">
            <w:pPr>
              <w:spacing w:after="0" w:line="240" w:lineRule="auto"/>
              <w:jc w:val="center"/>
              <w:rPr>
                <w:rFonts w:eastAsia="Times New Roman"/>
                <w:color w:val="000000"/>
                <w:sz w:val="18"/>
                <w:szCs w:val="18"/>
              </w:rPr>
            </w:pPr>
            <w:r w:rsidRPr="008059E5">
              <w:rPr>
                <w:rFonts w:eastAsia="Times New Roman"/>
                <w:color w:val="000000"/>
                <w:sz w:val="18"/>
                <w:szCs w:val="18"/>
              </w:rPr>
              <w:t>9</w:t>
            </w:r>
            <w:r w:rsidR="007505E0" w:rsidRPr="008059E5">
              <w:rPr>
                <w:rFonts w:eastAsia="Times New Roman"/>
                <w:color w:val="000000"/>
                <w:sz w:val="18"/>
                <w:szCs w:val="18"/>
              </w:rPr>
              <w:t>/</w:t>
            </w:r>
            <w:r w:rsidR="007505E0">
              <w:rPr>
                <w:rFonts w:eastAsia="Times New Roman"/>
                <w:color w:val="000000"/>
                <w:sz w:val="18"/>
                <w:szCs w:val="18"/>
              </w:rPr>
              <w:t>17/2015</w:t>
            </w:r>
            <w:r w:rsidR="00033751"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14:paraId="1B90DE2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single" w:sz="4" w:space="0" w:color="auto"/>
              <w:left w:val="single" w:sz="4" w:space="0" w:color="auto"/>
              <w:bottom w:val="single" w:sz="4" w:space="0" w:color="auto"/>
              <w:right w:val="single" w:sz="4" w:space="0" w:color="auto"/>
            </w:tcBorders>
            <w:shd w:val="clear" w:color="000000" w:fill="F79646"/>
            <w:noWrap/>
            <w:vAlign w:val="bottom"/>
            <w:hideMark/>
          </w:tcPr>
          <w:p w14:paraId="1FA6213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14:paraId="4354AED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4FFFF99C" w14:textId="77777777" w:rsidTr="00F74FEF">
        <w:trPr>
          <w:trHeight w:val="300"/>
        </w:trPr>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5FA90"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241 Harrison County</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A4FBD"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4A51CEF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F7CBFC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auto" w:fill="FF7C80"/>
            <w:noWrap/>
            <w:vAlign w:val="bottom"/>
            <w:hideMark/>
          </w:tcPr>
          <w:p w14:paraId="2FD51E8A" w14:textId="77777777" w:rsidR="00033751" w:rsidRPr="00033751" w:rsidRDefault="000274CB" w:rsidP="00033751">
            <w:pPr>
              <w:spacing w:after="0" w:line="240" w:lineRule="auto"/>
              <w:jc w:val="center"/>
              <w:rPr>
                <w:rFonts w:eastAsia="Times New Roman"/>
                <w:color w:val="000000"/>
                <w:sz w:val="18"/>
                <w:szCs w:val="18"/>
              </w:rPr>
            </w:pPr>
            <w:r>
              <w:rPr>
                <w:rFonts w:eastAsia="Times New Roman"/>
                <w:color w:val="000000"/>
                <w:sz w:val="18"/>
                <w:szCs w:val="18"/>
              </w:rPr>
              <w:t>5/27/2021</w:t>
            </w:r>
            <w:r w:rsidR="00033751"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14:paraId="1E015C4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single" w:sz="4" w:space="0" w:color="auto"/>
              <w:left w:val="single" w:sz="4" w:space="0" w:color="auto"/>
              <w:bottom w:val="single" w:sz="4" w:space="0" w:color="auto"/>
              <w:right w:val="single" w:sz="4" w:space="0" w:color="auto"/>
            </w:tcBorders>
            <w:shd w:val="clear" w:color="000000" w:fill="F79646"/>
            <w:noWrap/>
            <w:vAlign w:val="bottom"/>
            <w:hideMark/>
          </w:tcPr>
          <w:p w14:paraId="353E59A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14:paraId="34021C2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7266CBE0" w14:textId="77777777" w:rsidTr="00F74FEF">
        <w:trPr>
          <w:trHeight w:val="300"/>
        </w:trPr>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7BAE7"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245 Hart County</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14:paraId="6B69F29A"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single" w:sz="4" w:space="0" w:color="auto"/>
              <w:left w:val="nil"/>
              <w:bottom w:val="single" w:sz="4" w:space="0" w:color="auto"/>
              <w:right w:val="single" w:sz="4" w:space="0" w:color="auto"/>
            </w:tcBorders>
            <w:shd w:val="clear" w:color="auto" w:fill="FFD966" w:themeFill="accent4" w:themeFillTint="99"/>
            <w:vAlign w:val="bottom"/>
            <w:hideMark/>
          </w:tcPr>
          <w:p w14:paraId="5A8CF11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6C0AA00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nil"/>
              <w:bottom w:val="single" w:sz="4" w:space="0" w:color="auto"/>
              <w:right w:val="single" w:sz="4" w:space="0" w:color="auto"/>
            </w:tcBorders>
            <w:shd w:val="clear" w:color="auto" w:fill="FF7C80"/>
            <w:noWrap/>
            <w:vAlign w:val="bottom"/>
            <w:hideMark/>
          </w:tcPr>
          <w:p w14:paraId="6EAB0D9A" w14:textId="77777777" w:rsidR="00033751" w:rsidRPr="00033751" w:rsidRDefault="007505E0" w:rsidP="00033751">
            <w:pPr>
              <w:spacing w:after="0" w:line="240" w:lineRule="auto"/>
              <w:jc w:val="center"/>
              <w:rPr>
                <w:rFonts w:eastAsia="Times New Roman"/>
                <w:color w:val="000000"/>
                <w:sz w:val="18"/>
                <w:szCs w:val="18"/>
              </w:rPr>
            </w:pPr>
            <w:r>
              <w:rPr>
                <w:rFonts w:eastAsia="Times New Roman"/>
                <w:color w:val="000000"/>
                <w:sz w:val="18"/>
                <w:szCs w:val="18"/>
              </w:rPr>
              <w:t>12/11/2014</w:t>
            </w:r>
            <w:r w:rsidR="00033751" w:rsidRPr="00033751">
              <w:rPr>
                <w:rFonts w:eastAsia="Times New Roman"/>
                <w:color w:val="000000"/>
                <w:sz w:val="18"/>
                <w:szCs w:val="18"/>
              </w:rPr>
              <w:t> </w:t>
            </w:r>
          </w:p>
        </w:tc>
        <w:tc>
          <w:tcPr>
            <w:tcW w:w="1387" w:type="dxa"/>
            <w:tcBorders>
              <w:top w:val="single" w:sz="4" w:space="0" w:color="auto"/>
              <w:left w:val="nil"/>
              <w:bottom w:val="single" w:sz="4" w:space="0" w:color="auto"/>
              <w:right w:val="single" w:sz="4" w:space="0" w:color="auto"/>
            </w:tcBorders>
            <w:shd w:val="clear" w:color="000000" w:fill="CCC0DA"/>
            <w:noWrap/>
            <w:vAlign w:val="bottom"/>
            <w:hideMark/>
          </w:tcPr>
          <w:p w14:paraId="3335C8F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single" w:sz="4" w:space="0" w:color="auto"/>
              <w:left w:val="nil"/>
              <w:bottom w:val="single" w:sz="4" w:space="0" w:color="auto"/>
              <w:right w:val="single" w:sz="4" w:space="0" w:color="auto"/>
            </w:tcBorders>
            <w:shd w:val="clear" w:color="000000" w:fill="F79646"/>
            <w:noWrap/>
            <w:vAlign w:val="bottom"/>
            <w:hideMark/>
          </w:tcPr>
          <w:p w14:paraId="316B03C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single" w:sz="4" w:space="0" w:color="auto"/>
              <w:left w:val="nil"/>
              <w:bottom w:val="single" w:sz="4" w:space="0" w:color="auto"/>
              <w:right w:val="single" w:sz="4" w:space="0" w:color="auto"/>
            </w:tcBorders>
            <w:shd w:val="clear" w:color="auto" w:fill="A8D08D" w:themeFill="accent6" w:themeFillTint="99"/>
            <w:noWrap/>
            <w:vAlign w:val="bottom"/>
            <w:hideMark/>
          </w:tcPr>
          <w:p w14:paraId="717D63B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059000D3"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6CA84855"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246 Hazard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0EEBDDBE"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09A6750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51E541F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631FD30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10/6/2011</w:t>
            </w:r>
          </w:p>
        </w:tc>
        <w:tc>
          <w:tcPr>
            <w:tcW w:w="1387" w:type="dxa"/>
            <w:tcBorders>
              <w:top w:val="nil"/>
              <w:left w:val="nil"/>
              <w:bottom w:val="single" w:sz="4" w:space="0" w:color="auto"/>
              <w:right w:val="single" w:sz="4" w:space="0" w:color="auto"/>
            </w:tcBorders>
            <w:shd w:val="clear" w:color="000000" w:fill="CCC0DA"/>
            <w:noWrap/>
            <w:vAlign w:val="bottom"/>
            <w:hideMark/>
          </w:tcPr>
          <w:p w14:paraId="56EFA5E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42BBAFF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355B2B1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33A0753B"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007C435F"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251 Henderson County</w:t>
            </w:r>
          </w:p>
        </w:tc>
        <w:tc>
          <w:tcPr>
            <w:tcW w:w="867" w:type="dxa"/>
            <w:tcBorders>
              <w:top w:val="nil"/>
              <w:left w:val="nil"/>
              <w:bottom w:val="single" w:sz="4" w:space="0" w:color="auto"/>
              <w:right w:val="single" w:sz="4" w:space="0" w:color="auto"/>
            </w:tcBorders>
            <w:shd w:val="clear" w:color="auto" w:fill="auto"/>
            <w:noWrap/>
            <w:vAlign w:val="bottom"/>
            <w:hideMark/>
          </w:tcPr>
          <w:p w14:paraId="3A314723"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0F82E95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2C3DF1C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5F70B329" w14:textId="77777777" w:rsidR="00033751" w:rsidRPr="00033751" w:rsidRDefault="007505E0" w:rsidP="00033751">
            <w:pPr>
              <w:spacing w:after="0" w:line="240" w:lineRule="auto"/>
              <w:jc w:val="center"/>
              <w:rPr>
                <w:rFonts w:eastAsia="Times New Roman"/>
                <w:color w:val="000000"/>
                <w:sz w:val="18"/>
                <w:szCs w:val="18"/>
              </w:rPr>
            </w:pPr>
            <w:r>
              <w:rPr>
                <w:rFonts w:eastAsia="Times New Roman"/>
                <w:color w:val="000000"/>
                <w:sz w:val="18"/>
                <w:szCs w:val="18"/>
              </w:rPr>
              <w:t>4/20/2015</w:t>
            </w:r>
            <w:r w:rsidR="00033751"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0196064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737AEE1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4E0BBEB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519753FE"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2DBE30DA"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255 Henry County</w:t>
            </w:r>
          </w:p>
        </w:tc>
        <w:tc>
          <w:tcPr>
            <w:tcW w:w="867" w:type="dxa"/>
            <w:tcBorders>
              <w:top w:val="nil"/>
              <w:left w:val="nil"/>
              <w:bottom w:val="single" w:sz="4" w:space="0" w:color="auto"/>
              <w:right w:val="single" w:sz="4" w:space="0" w:color="auto"/>
            </w:tcBorders>
            <w:shd w:val="clear" w:color="auto" w:fill="auto"/>
            <w:noWrap/>
            <w:vAlign w:val="bottom"/>
            <w:hideMark/>
          </w:tcPr>
          <w:p w14:paraId="7464DB8E"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5C47D7E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4B32F34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7CAB479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9/6/2006</w:t>
            </w:r>
          </w:p>
        </w:tc>
        <w:tc>
          <w:tcPr>
            <w:tcW w:w="1387" w:type="dxa"/>
            <w:tcBorders>
              <w:top w:val="nil"/>
              <w:left w:val="nil"/>
              <w:bottom w:val="single" w:sz="4" w:space="0" w:color="auto"/>
              <w:right w:val="single" w:sz="4" w:space="0" w:color="auto"/>
            </w:tcBorders>
            <w:shd w:val="clear" w:color="000000" w:fill="CCC0DA"/>
            <w:noWrap/>
            <w:vAlign w:val="bottom"/>
            <w:hideMark/>
          </w:tcPr>
          <w:p w14:paraId="51E5C45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76AB2EA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2028A03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7E73990A"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357E1456"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261 Hickman County</w:t>
            </w:r>
          </w:p>
        </w:tc>
        <w:tc>
          <w:tcPr>
            <w:tcW w:w="867" w:type="dxa"/>
            <w:tcBorders>
              <w:top w:val="nil"/>
              <w:left w:val="nil"/>
              <w:bottom w:val="single" w:sz="4" w:space="0" w:color="auto"/>
              <w:right w:val="single" w:sz="4" w:space="0" w:color="auto"/>
            </w:tcBorders>
            <w:shd w:val="clear" w:color="auto" w:fill="auto"/>
            <w:noWrap/>
            <w:vAlign w:val="bottom"/>
            <w:hideMark/>
          </w:tcPr>
          <w:p w14:paraId="40DEF1A5"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43E92EF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63BAB1E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0C471F3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1F8655D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7F978AB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73B1937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7FED8D46"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33C3203A"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265 Hopkins County</w:t>
            </w:r>
          </w:p>
        </w:tc>
        <w:tc>
          <w:tcPr>
            <w:tcW w:w="867" w:type="dxa"/>
            <w:tcBorders>
              <w:top w:val="nil"/>
              <w:left w:val="nil"/>
              <w:bottom w:val="single" w:sz="4" w:space="0" w:color="auto"/>
              <w:right w:val="single" w:sz="4" w:space="0" w:color="auto"/>
            </w:tcBorders>
            <w:shd w:val="clear" w:color="auto" w:fill="auto"/>
            <w:noWrap/>
            <w:vAlign w:val="bottom"/>
            <w:hideMark/>
          </w:tcPr>
          <w:p w14:paraId="5FB813D4"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33DDA62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593BDC7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68869BB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0F0FF84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72B44B8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09C2596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3F3FE5C1"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5751BF19"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271 Jackson County</w:t>
            </w:r>
          </w:p>
        </w:tc>
        <w:tc>
          <w:tcPr>
            <w:tcW w:w="867" w:type="dxa"/>
            <w:tcBorders>
              <w:top w:val="nil"/>
              <w:left w:val="nil"/>
              <w:bottom w:val="single" w:sz="4" w:space="0" w:color="auto"/>
              <w:right w:val="single" w:sz="4" w:space="0" w:color="auto"/>
            </w:tcBorders>
            <w:shd w:val="clear" w:color="auto" w:fill="auto"/>
            <w:noWrap/>
            <w:vAlign w:val="bottom"/>
            <w:hideMark/>
          </w:tcPr>
          <w:p w14:paraId="761D07E8"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52C549B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75A9C3D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0CCA676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4BED5D5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6C22AFA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09B9FD8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9/23/2010</w:t>
            </w:r>
          </w:p>
        </w:tc>
      </w:tr>
      <w:tr w:rsidR="004933DE" w:rsidRPr="00033751" w14:paraId="18DA4AF3"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115E026B"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272 Jackson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5E8F8C86"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440EDFB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09A99D6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4B07CF5B" w14:textId="77777777" w:rsidR="00033751" w:rsidRPr="00033751" w:rsidRDefault="000274CB" w:rsidP="00033751">
            <w:pPr>
              <w:spacing w:after="0" w:line="240" w:lineRule="auto"/>
              <w:jc w:val="center"/>
              <w:rPr>
                <w:rFonts w:eastAsia="Times New Roman"/>
                <w:color w:val="000000"/>
                <w:sz w:val="18"/>
                <w:szCs w:val="18"/>
              </w:rPr>
            </w:pPr>
            <w:r>
              <w:rPr>
                <w:rFonts w:eastAsia="Times New Roman"/>
                <w:color w:val="000000"/>
                <w:sz w:val="18"/>
                <w:szCs w:val="18"/>
              </w:rPr>
              <w:t>5/20/2021</w:t>
            </w:r>
            <w:r w:rsidR="00033751"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05AAC19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02D13DB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303914A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4320B645"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097A1590"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275 Jefferson County</w:t>
            </w:r>
          </w:p>
        </w:tc>
        <w:tc>
          <w:tcPr>
            <w:tcW w:w="867" w:type="dxa"/>
            <w:tcBorders>
              <w:top w:val="nil"/>
              <w:left w:val="nil"/>
              <w:bottom w:val="single" w:sz="4" w:space="0" w:color="auto"/>
              <w:right w:val="single" w:sz="4" w:space="0" w:color="auto"/>
            </w:tcBorders>
            <w:shd w:val="clear" w:color="auto" w:fill="auto"/>
            <w:noWrap/>
            <w:vAlign w:val="bottom"/>
            <w:hideMark/>
          </w:tcPr>
          <w:p w14:paraId="2B99DB27"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4879369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6D302D5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6C4992A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5D8B849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4C6AFED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3FBFFB8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0D6E5944"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58FD3B33"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276 Jenkins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05D4EDF8"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54B9FFC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7E96A0C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73A3D00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6E71A56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18E2D45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50F9779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4F971881"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5D634504"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281 Jessamine County</w:t>
            </w:r>
          </w:p>
        </w:tc>
        <w:tc>
          <w:tcPr>
            <w:tcW w:w="867" w:type="dxa"/>
            <w:tcBorders>
              <w:top w:val="nil"/>
              <w:left w:val="nil"/>
              <w:bottom w:val="single" w:sz="4" w:space="0" w:color="auto"/>
              <w:right w:val="single" w:sz="4" w:space="0" w:color="auto"/>
            </w:tcBorders>
            <w:shd w:val="clear" w:color="auto" w:fill="auto"/>
            <w:noWrap/>
            <w:vAlign w:val="bottom"/>
            <w:hideMark/>
          </w:tcPr>
          <w:p w14:paraId="445B96F3"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08BAC2B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8/1/1994</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7FCCC98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10/13/2003</w:t>
            </w:r>
          </w:p>
        </w:tc>
        <w:tc>
          <w:tcPr>
            <w:tcW w:w="1387" w:type="dxa"/>
            <w:tcBorders>
              <w:top w:val="nil"/>
              <w:left w:val="nil"/>
              <w:bottom w:val="single" w:sz="4" w:space="0" w:color="auto"/>
              <w:right w:val="single" w:sz="4" w:space="0" w:color="auto"/>
            </w:tcBorders>
            <w:shd w:val="clear" w:color="auto" w:fill="FF7C80"/>
            <w:noWrap/>
            <w:vAlign w:val="bottom"/>
            <w:hideMark/>
          </w:tcPr>
          <w:p w14:paraId="6E5C6B8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6A96F7E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3CB0761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58AF13C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02A12ADF"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7293EAD2"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285 Johnson County</w:t>
            </w:r>
          </w:p>
        </w:tc>
        <w:tc>
          <w:tcPr>
            <w:tcW w:w="867" w:type="dxa"/>
            <w:tcBorders>
              <w:top w:val="nil"/>
              <w:left w:val="nil"/>
              <w:bottom w:val="single" w:sz="4" w:space="0" w:color="auto"/>
              <w:right w:val="single" w:sz="4" w:space="0" w:color="auto"/>
            </w:tcBorders>
            <w:shd w:val="clear" w:color="auto" w:fill="auto"/>
            <w:noWrap/>
            <w:vAlign w:val="bottom"/>
            <w:hideMark/>
          </w:tcPr>
          <w:p w14:paraId="2FA471F3"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52B4544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6B11782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183AC2D7" w14:textId="77777777" w:rsidR="00033751" w:rsidRPr="00033751" w:rsidRDefault="000274CB" w:rsidP="00033751">
            <w:pPr>
              <w:spacing w:after="0" w:line="240" w:lineRule="auto"/>
              <w:jc w:val="center"/>
              <w:rPr>
                <w:rFonts w:eastAsia="Times New Roman"/>
                <w:color w:val="000000"/>
                <w:sz w:val="18"/>
                <w:szCs w:val="18"/>
              </w:rPr>
            </w:pPr>
            <w:r>
              <w:rPr>
                <w:rFonts w:eastAsia="Times New Roman"/>
                <w:color w:val="000000"/>
                <w:sz w:val="18"/>
                <w:szCs w:val="18"/>
              </w:rPr>
              <w:t>9/9/2019 (double)</w:t>
            </w:r>
          </w:p>
        </w:tc>
        <w:tc>
          <w:tcPr>
            <w:tcW w:w="1387" w:type="dxa"/>
            <w:tcBorders>
              <w:top w:val="nil"/>
              <w:left w:val="nil"/>
              <w:bottom w:val="single" w:sz="4" w:space="0" w:color="auto"/>
              <w:right w:val="single" w:sz="4" w:space="0" w:color="auto"/>
            </w:tcBorders>
            <w:shd w:val="clear" w:color="000000" w:fill="CCC0DA"/>
            <w:noWrap/>
            <w:vAlign w:val="bottom"/>
            <w:hideMark/>
          </w:tcPr>
          <w:p w14:paraId="215169C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4B53CF8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694E79B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27068AF5"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7BF64D01"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291 Kenton County</w:t>
            </w:r>
          </w:p>
        </w:tc>
        <w:tc>
          <w:tcPr>
            <w:tcW w:w="867" w:type="dxa"/>
            <w:tcBorders>
              <w:top w:val="nil"/>
              <w:left w:val="nil"/>
              <w:bottom w:val="single" w:sz="4" w:space="0" w:color="auto"/>
              <w:right w:val="single" w:sz="4" w:space="0" w:color="auto"/>
            </w:tcBorders>
            <w:shd w:val="clear" w:color="auto" w:fill="auto"/>
            <w:noWrap/>
            <w:vAlign w:val="bottom"/>
            <w:hideMark/>
          </w:tcPr>
          <w:p w14:paraId="32F50EB6"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7E42238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9/11/1995</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4A59A97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8/25/2003</w:t>
            </w:r>
          </w:p>
        </w:tc>
        <w:tc>
          <w:tcPr>
            <w:tcW w:w="1387" w:type="dxa"/>
            <w:tcBorders>
              <w:top w:val="nil"/>
              <w:left w:val="nil"/>
              <w:bottom w:val="single" w:sz="4" w:space="0" w:color="auto"/>
              <w:right w:val="single" w:sz="4" w:space="0" w:color="auto"/>
            </w:tcBorders>
            <w:shd w:val="clear" w:color="auto" w:fill="FF7C80"/>
            <w:noWrap/>
            <w:vAlign w:val="bottom"/>
            <w:hideMark/>
          </w:tcPr>
          <w:p w14:paraId="6CC80A2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51399F8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2AA8FA1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2F8F499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0E8A3E1E"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410DAAD3"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295 Knott County</w:t>
            </w:r>
          </w:p>
        </w:tc>
        <w:tc>
          <w:tcPr>
            <w:tcW w:w="867" w:type="dxa"/>
            <w:tcBorders>
              <w:top w:val="nil"/>
              <w:left w:val="nil"/>
              <w:bottom w:val="single" w:sz="4" w:space="0" w:color="auto"/>
              <w:right w:val="single" w:sz="4" w:space="0" w:color="auto"/>
            </w:tcBorders>
            <w:shd w:val="clear" w:color="auto" w:fill="auto"/>
            <w:noWrap/>
            <w:vAlign w:val="bottom"/>
            <w:hideMark/>
          </w:tcPr>
          <w:p w14:paraId="445F47FB"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16592E2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764CF41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013E349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4A732FF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4004AED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0EB345D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36BAA81B" w14:textId="77777777" w:rsidTr="00F74FEF">
        <w:trPr>
          <w:trHeight w:val="300"/>
        </w:trPr>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DBA8C"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301 Knox County</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A68CC"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1F432F1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F71EB5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auto" w:fill="FF7C80"/>
            <w:noWrap/>
            <w:vAlign w:val="bottom"/>
            <w:hideMark/>
          </w:tcPr>
          <w:p w14:paraId="005EDAC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14:paraId="51FBBA2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single" w:sz="4" w:space="0" w:color="auto"/>
              <w:left w:val="single" w:sz="4" w:space="0" w:color="auto"/>
              <w:bottom w:val="single" w:sz="4" w:space="0" w:color="auto"/>
              <w:right w:val="single" w:sz="4" w:space="0" w:color="auto"/>
            </w:tcBorders>
            <w:shd w:val="clear" w:color="000000" w:fill="F79646"/>
            <w:noWrap/>
            <w:vAlign w:val="bottom"/>
            <w:hideMark/>
          </w:tcPr>
          <w:p w14:paraId="4121CE1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14:paraId="48EC927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3AE432AF" w14:textId="77777777" w:rsidTr="00F74FEF">
        <w:trPr>
          <w:trHeight w:val="300"/>
        </w:trPr>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FF059"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305 LaRue County</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14:paraId="11444653"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single" w:sz="4" w:space="0" w:color="auto"/>
              <w:left w:val="nil"/>
              <w:bottom w:val="single" w:sz="4" w:space="0" w:color="auto"/>
              <w:right w:val="single" w:sz="4" w:space="0" w:color="auto"/>
            </w:tcBorders>
            <w:shd w:val="clear" w:color="auto" w:fill="FFD966" w:themeFill="accent4" w:themeFillTint="99"/>
            <w:vAlign w:val="bottom"/>
            <w:hideMark/>
          </w:tcPr>
          <w:p w14:paraId="034A964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5F73D72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nil"/>
              <w:bottom w:val="single" w:sz="4" w:space="0" w:color="auto"/>
              <w:right w:val="single" w:sz="4" w:space="0" w:color="auto"/>
            </w:tcBorders>
            <w:shd w:val="clear" w:color="auto" w:fill="FF7C80"/>
            <w:noWrap/>
            <w:vAlign w:val="bottom"/>
            <w:hideMark/>
          </w:tcPr>
          <w:p w14:paraId="7A11668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nil"/>
              <w:bottom w:val="single" w:sz="4" w:space="0" w:color="auto"/>
              <w:right w:val="single" w:sz="4" w:space="0" w:color="auto"/>
            </w:tcBorders>
            <w:shd w:val="clear" w:color="000000" w:fill="CCC0DA"/>
            <w:noWrap/>
            <w:vAlign w:val="bottom"/>
            <w:hideMark/>
          </w:tcPr>
          <w:p w14:paraId="08965F5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single" w:sz="4" w:space="0" w:color="auto"/>
              <w:left w:val="nil"/>
              <w:bottom w:val="single" w:sz="4" w:space="0" w:color="auto"/>
              <w:right w:val="single" w:sz="4" w:space="0" w:color="auto"/>
            </w:tcBorders>
            <w:shd w:val="clear" w:color="000000" w:fill="F79646"/>
            <w:noWrap/>
            <w:vAlign w:val="bottom"/>
            <w:hideMark/>
          </w:tcPr>
          <w:p w14:paraId="0BD39B6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single" w:sz="4" w:space="0" w:color="auto"/>
              <w:left w:val="nil"/>
              <w:bottom w:val="single" w:sz="4" w:space="0" w:color="auto"/>
              <w:right w:val="single" w:sz="4" w:space="0" w:color="auto"/>
            </w:tcBorders>
            <w:shd w:val="clear" w:color="auto" w:fill="A8D08D" w:themeFill="accent6" w:themeFillTint="99"/>
            <w:noWrap/>
            <w:vAlign w:val="bottom"/>
            <w:hideMark/>
          </w:tcPr>
          <w:p w14:paraId="4FFD138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4EC57D66"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5F794654"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311 Laurel County</w:t>
            </w:r>
          </w:p>
        </w:tc>
        <w:tc>
          <w:tcPr>
            <w:tcW w:w="867" w:type="dxa"/>
            <w:tcBorders>
              <w:top w:val="nil"/>
              <w:left w:val="nil"/>
              <w:bottom w:val="single" w:sz="4" w:space="0" w:color="auto"/>
              <w:right w:val="single" w:sz="4" w:space="0" w:color="auto"/>
            </w:tcBorders>
            <w:shd w:val="clear" w:color="auto" w:fill="auto"/>
            <w:noWrap/>
            <w:vAlign w:val="bottom"/>
            <w:hideMark/>
          </w:tcPr>
          <w:p w14:paraId="4A8BEDCA"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752E401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9/12/2005</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0A5D86C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9/12/2005</w:t>
            </w:r>
          </w:p>
        </w:tc>
        <w:tc>
          <w:tcPr>
            <w:tcW w:w="1387" w:type="dxa"/>
            <w:tcBorders>
              <w:top w:val="nil"/>
              <w:left w:val="nil"/>
              <w:bottom w:val="single" w:sz="4" w:space="0" w:color="auto"/>
              <w:right w:val="single" w:sz="4" w:space="0" w:color="auto"/>
            </w:tcBorders>
            <w:shd w:val="clear" w:color="auto" w:fill="FF7C80"/>
            <w:noWrap/>
            <w:vAlign w:val="bottom"/>
            <w:hideMark/>
          </w:tcPr>
          <w:p w14:paraId="4109353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194BA1E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058DE3D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2F6B9F2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5033382F" w14:textId="77777777" w:rsidTr="00F74FEF">
        <w:trPr>
          <w:trHeight w:val="300"/>
        </w:trPr>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890EB"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315 Lawrence County</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C3934"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1D7B2B5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93ADCA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auto" w:fill="FF7C80"/>
            <w:noWrap/>
            <w:vAlign w:val="bottom"/>
            <w:hideMark/>
          </w:tcPr>
          <w:p w14:paraId="0230056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14:paraId="074B26B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single" w:sz="4" w:space="0" w:color="auto"/>
              <w:left w:val="single" w:sz="4" w:space="0" w:color="auto"/>
              <w:bottom w:val="single" w:sz="4" w:space="0" w:color="auto"/>
              <w:right w:val="single" w:sz="4" w:space="0" w:color="auto"/>
            </w:tcBorders>
            <w:shd w:val="clear" w:color="000000" w:fill="F79646"/>
            <w:noWrap/>
            <w:vAlign w:val="bottom"/>
            <w:hideMark/>
          </w:tcPr>
          <w:p w14:paraId="691A0BF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14:paraId="2749AB0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41DC35AB" w14:textId="77777777" w:rsidTr="00F74FEF">
        <w:trPr>
          <w:trHeight w:val="300"/>
        </w:trPr>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F3A97"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321 Lee County</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14:paraId="757792B0"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single" w:sz="4" w:space="0" w:color="auto"/>
              <w:left w:val="nil"/>
              <w:bottom w:val="single" w:sz="4" w:space="0" w:color="auto"/>
              <w:right w:val="single" w:sz="4" w:space="0" w:color="auto"/>
            </w:tcBorders>
            <w:shd w:val="clear" w:color="auto" w:fill="FFD966" w:themeFill="accent4" w:themeFillTint="99"/>
            <w:vAlign w:val="bottom"/>
            <w:hideMark/>
          </w:tcPr>
          <w:p w14:paraId="07434FF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3C60860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nil"/>
              <w:bottom w:val="single" w:sz="4" w:space="0" w:color="auto"/>
              <w:right w:val="single" w:sz="4" w:space="0" w:color="auto"/>
            </w:tcBorders>
            <w:shd w:val="clear" w:color="auto" w:fill="FF7C80"/>
            <w:noWrap/>
            <w:vAlign w:val="bottom"/>
            <w:hideMark/>
          </w:tcPr>
          <w:p w14:paraId="5E02DB0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nil"/>
              <w:bottom w:val="single" w:sz="4" w:space="0" w:color="auto"/>
              <w:right w:val="single" w:sz="4" w:space="0" w:color="auto"/>
            </w:tcBorders>
            <w:shd w:val="clear" w:color="000000" w:fill="CCC0DA"/>
            <w:noWrap/>
            <w:vAlign w:val="bottom"/>
            <w:hideMark/>
          </w:tcPr>
          <w:p w14:paraId="2E99EB5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single" w:sz="4" w:space="0" w:color="auto"/>
              <w:left w:val="nil"/>
              <w:bottom w:val="single" w:sz="4" w:space="0" w:color="auto"/>
              <w:right w:val="single" w:sz="4" w:space="0" w:color="auto"/>
            </w:tcBorders>
            <w:shd w:val="clear" w:color="000000" w:fill="F79646"/>
            <w:noWrap/>
            <w:vAlign w:val="bottom"/>
            <w:hideMark/>
          </w:tcPr>
          <w:p w14:paraId="61E576B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single" w:sz="4" w:space="0" w:color="auto"/>
              <w:left w:val="nil"/>
              <w:bottom w:val="single" w:sz="4" w:space="0" w:color="auto"/>
              <w:right w:val="single" w:sz="4" w:space="0" w:color="auto"/>
            </w:tcBorders>
            <w:shd w:val="clear" w:color="auto" w:fill="A8D08D" w:themeFill="accent6" w:themeFillTint="99"/>
            <w:noWrap/>
            <w:vAlign w:val="bottom"/>
            <w:hideMark/>
          </w:tcPr>
          <w:p w14:paraId="3B0820B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156B5C33"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3803C081"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325 Leslie County</w:t>
            </w:r>
          </w:p>
        </w:tc>
        <w:tc>
          <w:tcPr>
            <w:tcW w:w="867" w:type="dxa"/>
            <w:tcBorders>
              <w:top w:val="nil"/>
              <w:left w:val="nil"/>
              <w:bottom w:val="single" w:sz="4" w:space="0" w:color="auto"/>
              <w:right w:val="single" w:sz="4" w:space="0" w:color="auto"/>
            </w:tcBorders>
            <w:shd w:val="clear" w:color="auto" w:fill="auto"/>
            <w:noWrap/>
            <w:vAlign w:val="bottom"/>
            <w:hideMark/>
          </w:tcPr>
          <w:p w14:paraId="02FCF779"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3DAE91E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6D21416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2FD743D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7052821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2856B22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20FC984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10/7/2010</w:t>
            </w:r>
          </w:p>
        </w:tc>
      </w:tr>
      <w:tr w:rsidR="004933DE" w:rsidRPr="00033751" w14:paraId="7A2BC99D"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52BCDA08"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331 Letcher County</w:t>
            </w:r>
          </w:p>
        </w:tc>
        <w:tc>
          <w:tcPr>
            <w:tcW w:w="867" w:type="dxa"/>
            <w:tcBorders>
              <w:top w:val="nil"/>
              <w:left w:val="nil"/>
              <w:bottom w:val="single" w:sz="4" w:space="0" w:color="auto"/>
              <w:right w:val="single" w:sz="4" w:space="0" w:color="auto"/>
            </w:tcBorders>
            <w:shd w:val="clear" w:color="auto" w:fill="auto"/>
            <w:noWrap/>
            <w:vAlign w:val="bottom"/>
            <w:hideMark/>
          </w:tcPr>
          <w:p w14:paraId="32054604"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0F5BCA8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4F74F33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54A410F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352CFC6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19DCA9C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416927E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1E832AC0"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7CE274EE"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335 Lewis County</w:t>
            </w:r>
          </w:p>
        </w:tc>
        <w:tc>
          <w:tcPr>
            <w:tcW w:w="867" w:type="dxa"/>
            <w:tcBorders>
              <w:top w:val="nil"/>
              <w:left w:val="nil"/>
              <w:bottom w:val="single" w:sz="4" w:space="0" w:color="auto"/>
              <w:right w:val="single" w:sz="4" w:space="0" w:color="auto"/>
            </w:tcBorders>
            <w:shd w:val="clear" w:color="auto" w:fill="auto"/>
            <w:noWrap/>
            <w:vAlign w:val="bottom"/>
            <w:hideMark/>
          </w:tcPr>
          <w:p w14:paraId="16ACDA0E"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00360DD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34BE119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7AB61DA1" w14:textId="77777777" w:rsidR="00033751" w:rsidRPr="00033751" w:rsidRDefault="002F77B1" w:rsidP="00033751">
            <w:pPr>
              <w:spacing w:after="0" w:line="240" w:lineRule="auto"/>
              <w:jc w:val="center"/>
              <w:rPr>
                <w:rFonts w:eastAsia="Times New Roman"/>
                <w:color w:val="000000"/>
                <w:sz w:val="18"/>
                <w:szCs w:val="18"/>
              </w:rPr>
            </w:pPr>
            <w:r>
              <w:rPr>
                <w:rFonts w:eastAsia="Times New Roman"/>
                <w:color w:val="000000"/>
                <w:sz w:val="18"/>
                <w:szCs w:val="18"/>
              </w:rPr>
              <w:t>8/4/2015</w:t>
            </w:r>
            <w:r w:rsidR="00033751"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379BAC2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6A2898B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32771C3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29AFD36E"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290BD261"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341 Lincoln County</w:t>
            </w:r>
          </w:p>
        </w:tc>
        <w:tc>
          <w:tcPr>
            <w:tcW w:w="867" w:type="dxa"/>
            <w:tcBorders>
              <w:top w:val="nil"/>
              <w:left w:val="nil"/>
              <w:bottom w:val="single" w:sz="4" w:space="0" w:color="auto"/>
              <w:right w:val="single" w:sz="4" w:space="0" w:color="auto"/>
            </w:tcBorders>
            <w:shd w:val="clear" w:color="auto" w:fill="auto"/>
            <w:noWrap/>
            <w:vAlign w:val="bottom"/>
            <w:hideMark/>
          </w:tcPr>
          <w:p w14:paraId="4592A9C8"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26882FA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5198026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4FA0741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5991A3C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434560A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5799286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1E72DBB1"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594EFEE6"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345 Livingston County</w:t>
            </w:r>
          </w:p>
        </w:tc>
        <w:tc>
          <w:tcPr>
            <w:tcW w:w="867" w:type="dxa"/>
            <w:tcBorders>
              <w:top w:val="nil"/>
              <w:left w:val="nil"/>
              <w:bottom w:val="single" w:sz="4" w:space="0" w:color="auto"/>
              <w:right w:val="single" w:sz="4" w:space="0" w:color="auto"/>
            </w:tcBorders>
            <w:shd w:val="clear" w:color="auto" w:fill="auto"/>
            <w:noWrap/>
            <w:vAlign w:val="bottom"/>
            <w:hideMark/>
          </w:tcPr>
          <w:p w14:paraId="46959286"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7322F7C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1F88194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433EBB6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58A7DC2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3AB64C9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7EA5171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16F232AD"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3762DA29"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351 Logan County</w:t>
            </w:r>
          </w:p>
        </w:tc>
        <w:tc>
          <w:tcPr>
            <w:tcW w:w="867" w:type="dxa"/>
            <w:tcBorders>
              <w:top w:val="nil"/>
              <w:left w:val="nil"/>
              <w:bottom w:val="single" w:sz="4" w:space="0" w:color="auto"/>
              <w:right w:val="single" w:sz="4" w:space="0" w:color="auto"/>
            </w:tcBorders>
            <w:shd w:val="clear" w:color="auto" w:fill="auto"/>
            <w:noWrap/>
            <w:vAlign w:val="bottom"/>
            <w:hideMark/>
          </w:tcPr>
          <w:p w14:paraId="66582DF6"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5FE812C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65244E8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3CE577C5" w14:textId="77777777" w:rsidR="00033751" w:rsidRPr="00033751" w:rsidRDefault="002F77B1" w:rsidP="00033751">
            <w:pPr>
              <w:spacing w:after="0" w:line="240" w:lineRule="auto"/>
              <w:jc w:val="center"/>
              <w:rPr>
                <w:rFonts w:eastAsia="Times New Roman"/>
                <w:color w:val="000000"/>
                <w:sz w:val="18"/>
                <w:szCs w:val="18"/>
              </w:rPr>
            </w:pPr>
            <w:r>
              <w:rPr>
                <w:rFonts w:eastAsia="Times New Roman"/>
                <w:color w:val="000000"/>
                <w:sz w:val="18"/>
                <w:szCs w:val="18"/>
              </w:rPr>
              <w:t>1/13/2015</w:t>
            </w:r>
            <w:r w:rsidR="00033751"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4A309B8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45CB778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29B4C4E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01F2A225"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648ED423"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354 Ludlow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566D32E2"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3645DEB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317E11C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3683F02D" w14:textId="6FD3472B" w:rsidR="00A359CF" w:rsidRPr="00DC700B" w:rsidRDefault="00FF0A20" w:rsidP="00ED1283">
            <w:pPr>
              <w:spacing w:after="0" w:line="240" w:lineRule="auto"/>
              <w:jc w:val="center"/>
              <w:rPr>
                <w:rFonts w:eastAsia="Times New Roman"/>
                <w:color w:val="000000"/>
                <w:sz w:val="18"/>
                <w:szCs w:val="18"/>
              </w:rPr>
            </w:pPr>
            <w:r w:rsidRPr="00DC700B">
              <w:rPr>
                <w:rFonts w:eastAsia="Times New Roman"/>
                <w:color w:val="000000"/>
                <w:sz w:val="18"/>
                <w:szCs w:val="18"/>
              </w:rPr>
              <w:t>8/26/2021</w:t>
            </w:r>
            <w:r w:rsidR="00A359CF" w:rsidRPr="00DC700B">
              <w:rPr>
                <w:rFonts w:eastAsia="Times New Roman"/>
                <w:color w:val="000000"/>
                <w:sz w:val="18"/>
                <w:szCs w:val="18"/>
              </w:rPr>
              <w:t xml:space="preserve"> </w:t>
            </w:r>
          </w:p>
          <w:p w14:paraId="4C7D16CC" w14:textId="067A0332" w:rsidR="00033751" w:rsidRPr="0047465C" w:rsidRDefault="00A359CF" w:rsidP="00033751">
            <w:pPr>
              <w:spacing w:after="0" w:line="240" w:lineRule="auto"/>
              <w:jc w:val="center"/>
              <w:rPr>
                <w:rFonts w:eastAsia="Times New Roman"/>
                <w:b/>
                <w:bCs/>
                <w:color w:val="000000"/>
                <w:sz w:val="18"/>
                <w:szCs w:val="18"/>
              </w:rPr>
            </w:pPr>
            <w:r w:rsidRPr="0047465C">
              <w:rPr>
                <w:rFonts w:eastAsia="Times New Roman"/>
                <w:b/>
                <w:bCs/>
                <w:color w:val="000000"/>
                <w:sz w:val="18"/>
                <w:szCs w:val="18"/>
              </w:rPr>
              <w:t>9/6/2022</w:t>
            </w:r>
            <w:r w:rsidR="00033751" w:rsidRPr="0047465C">
              <w:rPr>
                <w:rFonts w:eastAsia="Times New Roman"/>
                <w:b/>
                <w:bCs/>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75E0749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3EE58E9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079BE02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2DBBF499"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5443097B"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361 Lyon County</w:t>
            </w:r>
          </w:p>
        </w:tc>
        <w:tc>
          <w:tcPr>
            <w:tcW w:w="867" w:type="dxa"/>
            <w:tcBorders>
              <w:top w:val="nil"/>
              <w:left w:val="nil"/>
              <w:bottom w:val="single" w:sz="4" w:space="0" w:color="auto"/>
              <w:right w:val="single" w:sz="4" w:space="0" w:color="auto"/>
            </w:tcBorders>
            <w:shd w:val="clear" w:color="auto" w:fill="auto"/>
            <w:noWrap/>
            <w:vAlign w:val="bottom"/>
            <w:hideMark/>
          </w:tcPr>
          <w:p w14:paraId="2ACF9BB0"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79947DE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50AF3EB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6E05E20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72BDD1F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772C778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7FF3241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0852027A"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1EA369A0"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365 Madison County</w:t>
            </w:r>
          </w:p>
        </w:tc>
        <w:tc>
          <w:tcPr>
            <w:tcW w:w="867" w:type="dxa"/>
            <w:tcBorders>
              <w:top w:val="nil"/>
              <w:left w:val="nil"/>
              <w:bottom w:val="single" w:sz="4" w:space="0" w:color="auto"/>
              <w:right w:val="single" w:sz="4" w:space="0" w:color="auto"/>
            </w:tcBorders>
            <w:shd w:val="clear" w:color="auto" w:fill="auto"/>
            <w:noWrap/>
            <w:vAlign w:val="bottom"/>
            <w:hideMark/>
          </w:tcPr>
          <w:p w14:paraId="7E17E302"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756CB34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10/11/2001</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66272FE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10/21/2003</w:t>
            </w:r>
          </w:p>
        </w:tc>
        <w:tc>
          <w:tcPr>
            <w:tcW w:w="1387" w:type="dxa"/>
            <w:tcBorders>
              <w:top w:val="nil"/>
              <w:left w:val="nil"/>
              <w:bottom w:val="single" w:sz="4" w:space="0" w:color="auto"/>
              <w:right w:val="single" w:sz="4" w:space="0" w:color="auto"/>
            </w:tcBorders>
            <w:shd w:val="clear" w:color="auto" w:fill="FF7C80"/>
            <w:noWrap/>
            <w:vAlign w:val="bottom"/>
            <w:hideMark/>
          </w:tcPr>
          <w:p w14:paraId="086624F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51A4BBF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37CCFC2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4DF342A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3FD93406"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4D35C010"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371 Magoffin County</w:t>
            </w:r>
          </w:p>
        </w:tc>
        <w:tc>
          <w:tcPr>
            <w:tcW w:w="867" w:type="dxa"/>
            <w:tcBorders>
              <w:top w:val="nil"/>
              <w:left w:val="nil"/>
              <w:bottom w:val="single" w:sz="4" w:space="0" w:color="auto"/>
              <w:right w:val="single" w:sz="4" w:space="0" w:color="auto"/>
            </w:tcBorders>
            <w:shd w:val="clear" w:color="auto" w:fill="auto"/>
            <w:noWrap/>
            <w:vAlign w:val="bottom"/>
            <w:hideMark/>
          </w:tcPr>
          <w:p w14:paraId="2215F311"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3F1A911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793C145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10E60FCD" w14:textId="77777777" w:rsidR="00033751" w:rsidRPr="00033751" w:rsidRDefault="002F77B1" w:rsidP="00033751">
            <w:pPr>
              <w:spacing w:after="0" w:line="240" w:lineRule="auto"/>
              <w:jc w:val="center"/>
              <w:rPr>
                <w:rFonts w:eastAsia="Times New Roman"/>
                <w:color w:val="000000"/>
                <w:sz w:val="18"/>
                <w:szCs w:val="18"/>
              </w:rPr>
            </w:pPr>
            <w:r>
              <w:rPr>
                <w:rFonts w:eastAsia="Times New Roman"/>
                <w:color w:val="000000"/>
                <w:sz w:val="18"/>
                <w:szCs w:val="18"/>
              </w:rPr>
              <w:t>8/29/2013</w:t>
            </w:r>
            <w:r w:rsidR="00033751"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64F8E10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3ADE5E5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7FD5959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53FCDD19"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0AADA66C"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375 Marion County</w:t>
            </w:r>
          </w:p>
        </w:tc>
        <w:tc>
          <w:tcPr>
            <w:tcW w:w="867" w:type="dxa"/>
            <w:tcBorders>
              <w:top w:val="nil"/>
              <w:left w:val="nil"/>
              <w:bottom w:val="single" w:sz="4" w:space="0" w:color="auto"/>
              <w:right w:val="single" w:sz="4" w:space="0" w:color="auto"/>
            </w:tcBorders>
            <w:shd w:val="clear" w:color="auto" w:fill="auto"/>
            <w:noWrap/>
            <w:vAlign w:val="bottom"/>
            <w:hideMark/>
          </w:tcPr>
          <w:p w14:paraId="42D6215A"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2BCA424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095E5E3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0450259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r w:rsidR="00A73552">
              <w:rPr>
                <w:rFonts w:eastAsia="Times New Roman"/>
                <w:color w:val="000000"/>
                <w:sz w:val="18"/>
                <w:szCs w:val="18"/>
              </w:rPr>
              <w:t>3/31/2016</w:t>
            </w:r>
          </w:p>
        </w:tc>
        <w:tc>
          <w:tcPr>
            <w:tcW w:w="1387" w:type="dxa"/>
            <w:tcBorders>
              <w:top w:val="nil"/>
              <w:left w:val="nil"/>
              <w:bottom w:val="single" w:sz="4" w:space="0" w:color="auto"/>
              <w:right w:val="single" w:sz="4" w:space="0" w:color="auto"/>
            </w:tcBorders>
            <w:shd w:val="clear" w:color="000000" w:fill="CCC0DA"/>
            <w:noWrap/>
            <w:vAlign w:val="bottom"/>
            <w:hideMark/>
          </w:tcPr>
          <w:p w14:paraId="11BED6A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613D21A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0141CA5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137B2BB7"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26BAF255"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381 Marshall County</w:t>
            </w:r>
          </w:p>
        </w:tc>
        <w:tc>
          <w:tcPr>
            <w:tcW w:w="867" w:type="dxa"/>
            <w:tcBorders>
              <w:top w:val="nil"/>
              <w:left w:val="nil"/>
              <w:bottom w:val="single" w:sz="4" w:space="0" w:color="auto"/>
              <w:right w:val="single" w:sz="4" w:space="0" w:color="auto"/>
            </w:tcBorders>
            <w:shd w:val="clear" w:color="auto" w:fill="auto"/>
            <w:noWrap/>
            <w:vAlign w:val="bottom"/>
            <w:hideMark/>
          </w:tcPr>
          <w:p w14:paraId="6CEF7B8C"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3A638D7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1835EAF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6783C112" w14:textId="77777777" w:rsidR="00033751" w:rsidRPr="00033751" w:rsidRDefault="002F77B1" w:rsidP="00033751">
            <w:pPr>
              <w:spacing w:after="0" w:line="240" w:lineRule="auto"/>
              <w:jc w:val="center"/>
              <w:rPr>
                <w:rFonts w:eastAsia="Times New Roman"/>
                <w:color w:val="000000"/>
                <w:sz w:val="18"/>
                <w:szCs w:val="18"/>
              </w:rPr>
            </w:pPr>
            <w:r>
              <w:rPr>
                <w:rFonts w:eastAsia="Times New Roman"/>
                <w:color w:val="000000"/>
                <w:sz w:val="18"/>
                <w:szCs w:val="18"/>
              </w:rPr>
              <w:t>9/10/2013</w:t>
            </w:r>
            <w:r w:rsidR="00033751"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4492CA5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4E69870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416D26E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288BB3F3"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7748C83F"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385 Martin County</w:t>
            </w:r>
          </w:p>
        </w:tc>
        <w:tc>
          <w:tcPr>
            <w:tcW w:w="867" w:type="dxa"/>
            <w:tcBorders>
              <w:top w:val="nil"/>
              <w:left w:val="nil"/>
              <w:bottom w:val="single" w:sz="4" w:space="0" w:color="auto"/>
              <w:right w:val="single" w:sz="4" w:space="0" w:color="auto"/>
            </w:tcBorders>
            <w:shd w:val="clear" w:color="auto" w:fill="auto"/>
            <w:noWrap/>
            <w:vAlign w:val="bottom"/>
            <w:hideMark/>
          </w:tcPr>
          <w:p w14:paraId="3E36FEA4"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5ED3A6D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78B3F74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2B21ED41" w14:textId="77777777" w:rsidR="00033751" w:rsidRPr="00033751" w:rsidRDefault="0072734A" w:rsidP="00033751">
            <w:pPr>
              <w:spacing w:after="0" w:line="240" w:lineRule="auto"/>
              <w:jc w:val="center"/>
              <w:rPr>
                <w:rFonts w:eastAsia="Times New Roman"/>
                <w:color w:val="000000"/>
                <w:sz w:val="18"/>
                <w:szCs w:val="18"/>
              </w:rPr>
            </w:pPr>
            <w:r>
              <w:rPr>
                <w:rFonts w:eastAsia="Times New Roman"/>
                <w:color w:val="000000"/>
                <w:sz w:val="18"/>
                <w:szCs w:val="18"/>
              </w:rPr>
              <w:t>2/27/2014</w:t>
            </w:r>
            <w:r w:rsidR="00033751"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4F97B2B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09AF5FF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280024A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32ECAAD4"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12834679"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391 Mason County</w:t>
            </w:r>
          </w:p>
        </w:tc>
        <w:tc>
          <w:tcPr>
            <w:tcW w:w="867" w:type="dxa"/>
            <w:tcBorders>
              <w:top w:val="nil"/>
              <w:left w:val="nil"/>
              <w:bottom w:val="single" w:sz="4" w:space="0" w:color="auto"/>
              <w:right w:val="single" w:sz="4" w:space="0" w:color="auto"/>
            </w:tcBorders>
            <w:shd w:val="clear" w:color="auto" w:fill="auto"/>
            <w:noWrap/>
            <w:vAlign w:val="bottom"/>
            <w:hideMark/>
          </w:tcPr>
          <w:p w14:paraId="51335796"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39B4083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4AABB69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38898B50" w14:textId="77777777" w:rsidR="00033751" w:rsidRPr="00033751" w:rsidRDefault="00FD21AD" w:rsidP="00033751">
            <w:pPr>
              <w:spacing w:after="0" w:line="240" w:lineRule="auto"/>
              <w:jc w:val="center"/>
              <w:rPr>
                <w:rFonts w:eastAsia="Times New Roman"/>
                <w:color w:val="000000"/>
                <w:sz w:val="18"/>
                <w:szCs w:val="18"/>
              </w:rPr>
            </w:pPr>
            <w:r>
              <w:rPr>
                <w:rFonts w:eastAsia="Times New Roman"/>
                <w:color w:val="000000"/>
                <w:sz w:val="18"/>
                <w:szCs w:val="18"/>
              </w:rPr>
              <w:t>12/18/2017</w:t>
            </w:r>
            <w:r w:rsidR="00033751"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0FB2539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473D349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1217B7A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31E789F4"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3C624CD9"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lastRenderedPageBreak/>
              <w:t>392 Mayfield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222B05C3"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6788D70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07AD91B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28BCDEF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70C2ABB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8/15/2005</w:t>
            </w:r>
          </w:p>
        </w:tc>
        <w:tc>
          <w:tcPr>
            <w:tcW w:w="1214" w:type="dxa"/>
            <w:tcBorders>
              <w:top w:val="nil"/>
              <w:left w:val="nil"/>
              <w:bottom w:val="single" w:sz="4" w:space="0" w:color="auto"/>
              <w:right w:val="single" w:sz="4" w:space="0" w:color="auto"/>
            </w:tcBorders>
            <w:shd w:val="clear" w:color="000000" w:fill="F79646"/>
            <w:noWrap/>
            <w:vAlign w:val="bottom"/>
            <w:hideMark/>
          </w:tcPr>
          <w:p w14:paraId="7743046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610C5A0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35FE0940"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1AA41854"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395 McCracken County</w:t>
            </w:r>
          </w:p>
        </w:tc>
        <w:tc>
          <w:tcPr>
            <w:tcW w:w="867" w:type="dxa"/>
            <w:tcBorders>
              <w:top w:val="nil"/>
              <w:left w:val="nil"/>
              <w:bottom w:val="single" w:sz="4" w:space="0" w:color="auto"/>
              <w:right w:val="single" w:sz="4" w:space="0" w:color="auto"/>
            </w:tcBorders>
            <w:shd w:val="clear" w:color="auto" w:fill="auto"/>
            <w:noWrap/>
            <w:vAlign w:val="bottom"/>
            <w:hideMark/>
          </w:tcPr>
          <w:p w14:paraId="24461B52"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3092D33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0BBE725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24359A1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8/16/2007</w:t>
            </w:r>
          </w:p>
        </w:tc>
        <w:tc>
          <w:tcPr>
            <w:tcW w:w="1387" w:type="dxa"/>
            <w:tcBorders>
              <w:top w:val="nil"/>
              <w:left w:val="nil"/>
              <w:bottom w:val="single" w:sz="4" w:space="0" w:color="auto"/>
              <w:right w:val="single" w:sz="4" w:space="0" w:color="auto"/>
            </w:tcBorders>
            <w:shd w:val="clear" w:color="000000" w:fill="CCC0DA"/>
            <w:noWrap/>
            <w:vAlign w:val="bottom"/>
            <w:hideMark/>
          </w:tcPr>
          <w:p w14:paraId="37657BC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4B4AAB8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0AA34E4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2F03BD9A"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6DB5BCD5"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401 McCreary County</w:t>
            </w:r>
          </w:p>
        </w:tc>
        <w:tc>
          <w:tcPr>
            <w:tcW w:w="867" w:type="dxa"/>
            <w:tcBorders>
              <w:top w:val="nil"/>
              <w:left w:val="nil"/>
              <w:bottom w:val="single" w:sz="4" w:space="0" w:color="auto"/>
              <w:right w:val="single" w:sz="4" w:space="0" w:color="auto"/>
            </w:tcBorders>
            <w:shd w:val="clear" w:color="auto" w:fill="auto"/>
            <w:noWrap/>
            <w:vAlign w:val="bottom"/>
            <w:hideMark/>
          </w:tcPr>
          <w:p w14:paraId="701A1663"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33D9BA1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42C4F46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18DFCF8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5D2A5BC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3D0F5E9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11ACD8B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6C54A446"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3D8D88D9"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405 McLean County</w:t>
            </w:r>
          </w:p>
        </w:tc>
        <w:tc>
          <w:tcPr>
            <w:tcW w:w="867" w:type="dxa"/>
            <w:tcBorders>
              <w:top w:val="nil"/>
              <w:left w:val="nil"/>
              <w:bottom w:val="single" w:sz="4" w:space="0" w:color="auto"/>
              <w:right w:val="single" w:sz="4" w:space="0" w:color="auto"/>
            </w:tcBorders>
            <w:shd w:val="clear" w:color="auto" w:fill="auto"/>
            <w:noWrap/>
            <w:vAlign w:val="bottom"/>
            <w:hideMark/>
          </w:tcPr>
          <w:p w14:paraId="79C7C6BE"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0020660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75F6EFE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1D5DAD0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2DC404C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53F7AC8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5FA2319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7DF4AAA4" w14:textId="77777777" w:rsidTr="00F74FEF">
        <w:trPr>
          <w:trHeight w:val="300"/>
        </w:trPr>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F0366"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411 Meade County</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21E2B"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6A6C47B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1/10/1995</w:t>
            </w:r>
          </w:p>
        </w:tc>
        <w:tc>
          <w:tcPr>
            <w:tcW w:w="1387"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708072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auto" w:fill="FF7C80"/>
            <w:noWrap/>
            <w:vAlign w:val="bottom"/>
            <w:hideMark/>
          </w:tcPr>
          <w:p w14:paraId="6A065A0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9/27/2006</w:t>
            </w:r>
          </w:p>
        </w:tc>
        <w:tc>
          <w:tcPr>
            <w:tcW w:w="1387"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14:paraId="10B96F2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single" w:sz="4" w:space="0" w:color="auto"/>
              <w:left w:val="single" w:sz="4" w:space="0" w:color="auto"/>
              <w:bottom w:val="single" w:sz="4" w:space="0" w:color="auto"/>
              <w:right w:val="single" w:sz="4" w:space="0" w:color="auto"/>
            </w:tcBorders>
            <w:shd w:val="clear" w:color="000000" w:fill="F79646"/>
            <w:noWrap/>
            <w:vAlign w:val="bottom"/>
            <w:hideMark/>
          </w:tcPr>
          <w:p w14:paraId="34E906A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14:paraId="6AB0067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6E12EECE" w14:textId="77777777" w:rsidTr="00F74FEF">
        <w:trPr>
          <w:trHeight w:val="300"/>
        </w:trPr>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34440"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415 Menifee County</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14:paraId="659E09AA"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single" w:sz="4" w:space="0" w:color="auto"/>
              <w:left w:val="nil"/>
              <w:bottom w:val="single" w:sz="4" w:space="0" w:color="auto"/>
              <w:right w:val="single" w:sz="4" w:space="0" w:color="auto"/>
            </w:tcBorders>
            <w:shd w:val="clear" w:color="auto" w:fill="FFD966" w:themeFill="accent4" w:themeFillTint="99"/>
            <w:vAlign w:val="bottom"/>
            <w:hideMark/>
          </w:tcPr>
          <w:p w14:paraId="7AE5A45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56DF42F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nil"/>
              <w:bottom w:val="single" w:sz="4" w:space="0" w:color="auto"/>
              <w:right w:val="single" w:sz="4" w:space="0" w:color="auto"/>
            </w:tcBorders>
            <w:shd w:val="clear" w:color="auto" w:fill="FF7C80"/>
            <w:noWrap/>
            <w:vAlign w:val="bottom"/>
            <w:hideMark/>
          </w:tcPr>
          <w:p w14:paraId="76AA78B8" w14:textId="2467E418" w:rsidR="00033751" w:rsidRPr="002954F9" w:rsidRDefault="00A73552" w:rsidP="00033751">
            <w:pPr>
              <w:spacing w:after="0" w:line="240" w:lineRule="auto"/>
              <w:jc w:val="center"/>
              <w:rPr>
                <w:rFonts w:eastAsia="Times New Roman"/>
                <w:color w:val="000000"/>
                <w:sz w:val="18"/>
                <w:szCs w:val="18"/>
              </w:rPr>
            </w:pPr>
            <w:r w:rsidRPr="002954F9">
              <w:rPr>
                <w:rFonts w:eastAsia="Times New Roman"/>
                <w:color w:val="000000"/>
                <w:sz w:val="18"/>
                <w:szCs w:val="18"/>
              </w:rPr>
              <w:t>7/13/2016</w:t>
            </w:r>
            <w:r w:rsidR="00A359CF" w:rsidRPr="002954F9">
              <w:rPr>
                <w:rFonts w:eastAsia="Times New Roman"/>
                <w:color w:val="000000"/>
                <w:sz w:val="18"/>
                <w:szCs w:val="18"/>
              </w:rPr>
              <w:t xml:space="preserve"> </w:t>
            </w:r>
          </w:p>
          <w:p w14:paraId="4E1842E9" w14:textId="4F8714DA" w:rsidR="00A359CF" w:rsidRPr="0047465C" w:rsidRDefault="00A359CF" w:rsidP="00033751">
            <w:pPr>
              <w:spacing w:after="0" w:line="240" w:lineRule="auto"/>
              <w:jc w:val="center"/>
              <w:rPr>
                <w:rFonts w:eastAsia="Times New Roman"/>
                <w:b/>
                <w:bCs/>
                <w:i/>
                <w:iCs/>
                <w:color w:val="000000"/>
                <w:sz w:val="18"/>
                <w:szCs w:val="18"/>
              </w:rPr>
            </w:pPr>
            <w:r w:rsidRPr="0047465C">
              <w:rPr>
                <w:rFonts w:eastAsia="Times New Roman"/>
                <w:b/>
                <w:bCs/>
                <w:color w:val="000000"/>
                <w:sz w:val="18"/>
                <w:szCs w:val="18"/>
              </w:rPr>
              <w:t>7/5/2022</w:t>
            </w:r>
          </w:p>
        </w:tc>
        <w:tc>
          <w:tcPr>
            <w:tcW w:w="1387" w:type="dxa"/>
            <w:tcBorders>
              <w:top w:val="single" w:sz="4" w:space="0" w:color="auto"/>
              <w:left w:val="nil"/>
              <w:bottom w:val="single" w:sz="4" w:space="0" w:color="auto"/>
              <w:right w:val="single" w:sz="4" w:space="0" w:color="auto"/>
            </w:tcBorders>
            <w:shd w:val="clear" w:color="000000" w:fill="CCC0DA"/>
            <w:noWrap/>
            <w:vAlign w:val="bottom"/>
            <w:hideMark/>
          </w:tcPr>
          <w:p w14:paraId="13CBCE4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single" w:sz="4" w:space="0" w:color="auto"/>
              <w:left w:val="nil"/>
              <w:bottom w:val="single" w:sz="4" w:space="0" w:color="auto"/>
              <w:right w:val="single" w:sz="4" w:space="0" w:color="auto"/>
            </w:tcBorders>
            <w:shd w:val="clear" w:color="000000" w:fill="F79646"/>
            <w:noWrap/>
            <w:vAlign w:val="bottom"/>
            <w:hideMark/>
          </w:tcPr>
          <w:p w14:paraId="0CB5F16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single" w:sz="4" w:space="0" w:color="auto"/>
              <w:left w:val="nil"/>
              <w:bottom w:val="single" w:sz="4" w:space="0" w:color="auto"/>
              <w:right w:val="single" w:sz="4" w:space="0" w:color="auto"/>
            </w:tcBorders>
            <w:shd w:val="clear" w:color="auto" w:fill="A8D08D" w:themeFill="accent6" w:themeFillTint="99"/>
            <w:noWrap/>
            <w:vAlign w:val="bottom"/>
            <w:hideMark/>
          </w:tcPr>
          <w:p w14:paraId="3AFBEF2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45F82597" w14:textId="77777777" w:rsidTr="00F74FEF">
        <w:trPr>
          <w:trHeight w:val="300"/>
        </w:trPr>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038CA"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421 Mercer County</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F8335"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5E0982A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9/1/2005</w:t>
            </w:r>
          </w:p>
        </w:tc>
        <w:tc>
          <w:tcPr>
            <w:tcW w:w="1387"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DE76C4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9/1/2005</w:t>
            </w:r>
          </w:p>
        </w:tc>
        <w:tc>
          <w:tcPr>
            <w:tcW w:w="1387" w:type="dxa"/>
            <w:tcBorders>
              <w:top w:val="single" w:sz="4" w:space="0" w:color="auto"/>
              <w:left w:val="single" w:sz="4" w:space="0" w:color="auto"/>
              <w:bottom w:val="single" w:sz="4" w:space="0" w:color="auto"/>
              <w:right w:val="single" w:sz="4" w:space="0" w:color="auto"/>
            </w:tcBorders>
            <w:shd w:val="clear" w:color="auto" w:fill="FF7C80"/>
            <w:noWrap/>
            <w:vAlign w:val="bottom"/>
            <w:hideMark/>
          </w:tcPr>
          <w:p w14:paraId="2231F7E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14:paraId="7200020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single" w:sz="4" w:space="0" w:color="auto"/>
              <w:left w:val="single" w:sz="4" w:space="0" w:color="auto"/>
              <w:bottom w:val="single" w:sz="4" w:space="0" w:color="auto"/>
              <w:right w:val="single" w:sz="4" w:space="0" w:color="auto"/>
            </w:tcBorders>
            <w:shd w:val="clear" w:color="000000" w:fill="F79646"/>
            <w:noWrap/>
            <w:vAlign w:val="bottom"/>
            <w:hideMark/>
          </w:tcPr>
          <w:p w14:paraId="055BA23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14:paraId="276AC44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72CE8682" w14:textId="77777777" w:rsidTr="00F74FEF">
        <w:trPr>
          <w:trHeight w:val="300"/>
        </w:trPr>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6F73B"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425 Metcalfe County</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7896B"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6B2FB8C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0D1256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auto" w:fill="FF7C80"/>
            <w:noWrap/>
            <w:vAlign w:val="bottom"/>
            <w:hideMark/>
          </w:tcPr>
          <w:p w14:paraId="1293C7C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14:paraId="4A646A2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single" w:sz="4" w:space="0" w:color="auto"/>
              <w:left w:val="single" w:sz="4" w:space="0" w:color="auto"/>
              <w:bottom w:val="single" w:sz="4" w:space="0" w:color="auto"/>
              <w:right w:val="single" w:sz="4" w:space="0" w:color="auto"/>
            </w:tcBorders>
            <w:shd w:val="clear" w:color="000000" w:fill="F79646"/>
            <w:noWrap/>
            <w:vAlign w:val="bottom"/>
            <w:hideMark/>
          </w:tcPr>
          <w:p w14:paraId="0948FE8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14:paraId="50589EB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8/26/2010</w:t>
            </w:r>
          </w:p>
        </w:tc>
      </w:tr>
      <w:tr w:rsidR="004933DE" w:rsidRPr="00033751" w14:paraId="374F0B0F" w14:textId="77777777" w:rsidTr="00F74FEF">
        <w:trPr>
          <w:trHeight w:val="300"/>
        </w:trPr>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B1EDC"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426 Middlesboro Independent</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14:paraId="5DABE504"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single" w:sz="4" w:space="0" w:color="auto"/>
              <w:left w:val="nil"/>
              <w:bottom w:val="single" w:sz="4" w:space="0" w:color="auto"/>
              <w:right w:val="single" w:sz="4" w:space="0" w:color="auto"/>
            </w:tcBorders>
            <w:shd w:val="clear" w:color="auto" w:fill="FFD966" w:themeFill="accent4" w:themeFillTint="99"/>
            <w:vAlign w:val="bottom"/>
            <w:hideMark/>
          </w:tcPr>
          <w:p w14:paraId="267DB77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3FF481D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nil"/>
              <w:bottom w:val="single" w:sz="4" w:space="0" w:color="auto"/>
              <w:right w:val="single" w:sz="4" w:space="0" w:color="auto"/>
            </w:tcBorders>
            <w:shd w:val="clear" w:color="auto" w:fill="FF7C80"/>
            <w:noWrap/>
            <w:vAlign w:val="bottom"/>
            <w:hideMark/>
          </w:tcPr>
          <w:p w14:paraId="2224CEC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nil"/>
              <w:bottom w:val="single" w:sz="4" w:space="0" w:color="auto"/>
              <w:right w:val="single" w:sz="4" w:space="0" w:color="auto"/>
            </w:tcBorders>
            <w:shd w:val="clear" w:color="000000" w:fill="CCC0DA"/>
            <w:noWrap/>
            <w:vAlign w:val="bottom"/>
            <w:hideMark/>
          </w:tcPr>
          <w:p w14:paraId="791D3CF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single" w:sz="4" w:space="0" w:color="auto"/>
              <w:left w:val="nil"/>
              <w:bottom w:val="single" w:sz="4" w:space="0" w:color="auto"/>
              <w:right w:val="single" w:sz="4" w:space="0" w:color="auto"/>
            </w:tcBorders>
            <w:shd w:val="clear" w:color="000000" w:fill="F79646"/>
            <w:noWrap/>
            <w:vAlign w:val="bottom"/>
            <w:hideMark/>
          </w:tcPr>
          <w:p w14:paraId="71B8FB6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single" w:sz="4" w:space="0" w:color="auto"/>
              <w:left w:val="nil"/>
              <w:bottom w:val="single" w:sz="4" w:space="0" w:color="auto"/>
              <w:right w:val="single" w:sz="4" w:space="0" w:color="auto"/>
            </w:tcBorders>
            <w:shd w:val="clear" w:color="auto" w:fill="A8D08D" w:themeFill="accent6" w:themeFillTint="99"/>
            <w:noWrap/>
            <w:vAlign w:val="bottom"/>
            <w:hideMark/>
          </w:tcPr>
          <w:p w14:paraId="60910A8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13EFCF8C"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6E6802A2"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431 Monroe County</w:t>
            </w:r>
          </w:p>
        </w:tc>
        <w:tc>
          <w:tcPr>
            <w:tcW w:w="867" w:type="dxa"/>
            <w:tcBorders>
              <w:top w:val="nil"/>
              <w:left w:val="nil"/>
              <w:bottom w:val="single" w:sz="4" w:space="0" w:color="auto"/>
              <w:right w:val="single" w:sz="4" w:space="0" w:color="auto"/>
            </w:tcBorders>
            <w:shd w:val="clear" w:color="auto" w:fill="auto"/>
            <w:noWrap/>
            <w:vAlign w:val="bottom"/>
            <w:hideMark/>
          </w:tcPr>
          <w:p w14:paraId="2739E5EF"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7336B6A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1509DA5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3609315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19B791C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9/8/2005</w:t>
            </w:r>
          </w:p>
        </w:tc>
        <w:tc>
          <w:tcPr>
            <w:tcW w:w="1214" w:type="dxa"/>
            <w:tcBorders>
              <w:top w:val="nil"/>
              <w:left w:val="nil"/>
              <w:bottom w:val="single" w:sz="4" w:space="0" w:color="auto"/>
              <w:right w:val="single" w:sz="4" w:space="0" w:color="auto"/>
            </w:tcBorders>
            <w:shd w:val="clear" w:color="000000" w:fill="F79646"/>
            <w:noWrap/>
            <w:vAlign w:val="bottom"/>
            <w:hideMark/>
          </w:tcPr>
          <w:p w14:paraId="325F723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12AD0D9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574719B1"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71F9F856"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435 Montgomery County</w:t>
            </w:r>
          </w:p>
        </w:tc>
        <w:tc>
          <w:tcPr>
            <w:tcW w:w="867" w:type="dxa"/>
            <w:tcBorders>
              <w:top w:val="nil"/>
              <w:left w:val="nil"/>
              <w:bottom w:val="single" w:sz="4" w:space="0" w:color="auto"/>
              <w:right w:val="single" w:sz="4" w:space="0" w:color="auto"/>
            </w:tcBorders>
            <w:shd w:val="clear" w:color="auto" w:fill="auto"/>
            <w:noWrap/>
            <w:vAlign w:val="bottom"/>
            <w:hideMark/>
          </w:tcPr>
          <w:p w14:paraId="1DB8EA37"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59FDF3E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9/26/2001</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7E82E06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10/25/2003</w:t>
            </w:r>
          </w:p>
        </w:tc>
        <w:tc>
          <w:tcPr>
            <w:tcW w:w="1387" w:type="dxa"/>
            <w:tcBorders>
              <w:top w:val="nil"/>
              <w:left w:val="nil"/>
              <w:bottom w:val="single" w:sz="4" w:space="0" w:color="auto"/>
              <w:right w:val="single" w:sz="4" w:space="0" w:color="auto"/>
            </w:tcBorders>
            <w:shd w:val="clear" w:color="auto" w:fill="FF7C80"/>
            <w:noWrap/>
            <w:vAlign w:val="bottom"/>
            <w:hideMark/>
          </w:tcPr>
          <w:p w14:paraId="7DE7901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378F462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0E84106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7B751F8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36C10E08"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5DB17630"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436 Monticello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7C0FF5F0"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0B5AE49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3901083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77A5141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1301E9E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4B778B3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4424118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39F160EF"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27442645"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441 Morgan County</w:t>
            </w:r>
          </w:p>
        </w:tc>
        <w:tc>
          <w:tcPr>
            <w:tcW w:w="867" w:type="dxa"/>
            <w:tcBorders>
              <w:top w:val="nil"/>
              <w:left w:val="nil"/>
              <w:bottom w:val="single" w:sz="4" w:space="0" w:color="auto"/>
              <w:right w:val="single" w:sz="4" w:space="0" w:color="auto"/>
            </w:tcBorders>
            <w:shd w:val="clear" w:color="auto" w:fill="auto"/>
            <w:noWrap/>
            <w:vAlign w:val="bottom"/>
            <w:hideMark/>
          </w:tcPr>
          <w:p w14:paraId="7C7CE4FA"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5E6948B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0816DAD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6FD70FF9" w14:textId="77777777" w:rsidR="00033751" w:rsidRPr="00033751" w:rsidRDefault="0072734A" w:rsidP="00033751">
            <w:pPr>
              <w:spacing w:after="0" w:line="240" w:lineRule="auto"/>
              <w:jc w:val="center"/>
              <w:rPr>
                <w:rFonts w:eastAsia="Times New Roman"/>
                <w:color w:val="000000"/>
                <w:sz w:val="18"/>
                <w:szCs w:val="18"/>
              </w:rPr>
            </w:pPr>
            <w:r>
              <w:rPr>
                <w:rFonts w:eastAsia="Times New Roman"/>
                <w:color w:val="000000"/>
                <w:sz w:val="18"/>
                <w:szCs w:val="18"/>
              </w:rPr>
              <w:t>8/27/2015</w:t>
            </w:r>
            <w:r w:rsidR="00033751"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288CAC6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37BFE43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57A3975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1431F12F"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7C208E7B"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445 Muhlenberg County</w:t>
            </w:r>
          </w:p>
        </w:tc>
        <w:tc>
          <w:tcPr>
            <w:tcW w:w="867" w:type="dxa"/>
            <w:tcBorders>
              <w:top w:val="nil"/>
              <w:left w:val="nil"/>
              <w:bottom w:val="single" w:sz="4" w:space="0" w:color="auto"/>
              <w:right w:val="single" w:sz="4" w:space="0" w:color="auto"/>
            </w:tcBorders>
            <w:shd w:val="clear" w:color="auto" w:fill="auto"/>
            <w:noWrap/>
            <w:vAlign w:val="bottom"/>
            <w:hideMark/>
          </w:tcPr>
          <w:p w14:paraId="080706D6"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109E06DA" w14:textId="7FB4227A" w:rsidR="00033751" w:rsidRPr="00241414" w:rsidRDefault="00033751" w:rsidP="00033751">
            <w:pPr>
              <w:spacing w:after="0" w:line="240" w:lineRule="auto"/>
              <w:jc w:val="center"/>
              <w:rPr>
                <w:rFonts w:eastAsia="Times New Roman"/>
                <w:b/>
                <w:bCs/>
                <w:color w:val="000000"/>
                <w:sz w:val="18"/>
                <w:szCs w:val="18"/>
              </w:rPr>
            </w:pP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19799B23" w14:textId="3C9B9722" w:rsidR="00033751" w:rsidRPr="007D73A1" w:rsidRDefault="00033751" w:rsidP="00033751">
            <w:pPr>
              <w:spacing w:after="0" w:line="240" w:lineRule="auto"/>
              <w:jc w:val="center"/>
              <w:rPr>
                <w:rFonts w:eastAsia="Times New Roman"/>
                <w:b/>
                <w:bCs/>
                <w:color w:val="000000"/>
                <w:sz w:val="18"/>
                <w:szCs w:val="18"/>
              </w:rPr>
            </w:pPr>
          </w:p>
        </w:tc>
        <w:tc>
          <w:tcPr>
            <w:tcW w:w="1387" w:type="dxa"/>
            <w:tcBorders>
              <w:top w:val="nil"/>
              <w:left w:val="nil"/>
              <w:bottom w:val="single" w:sz="4" w:space="0" w:color="auto"/>
              <w:right w:val="single" w:sz="4" w:space="0" w:color="auto"/>
            </w:tcBorders>
            <w:shd w:val="clear" w:color="auto" w:fill="FF7C80"/>
            <w:noWrap/>
            <w:vAlign w:val="bottom"/>
            <w:hideMark/>
          </w:tcPr>
          <w:p w14:paraId="69413B3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0688D0D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49BFD21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5EEBB95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27976B3A"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5AFE62DA"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446 Murray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6C2329AC"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1C029B9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9/11/2003</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2B174C6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9/11/2003</w:t>
            </w:r>
          </w:p>
        </w:tc>
        <w:tc>
          <w:tcPr>
            <w:tcW w:w="1387" w:type="dxa"/>
            <w:tcBorders>
              <w:top w:val="nil"/>
              <w:left w:val="nil"/>
              <w:bottom w:val="single" w:sz="4" w:space="0" w:color="auto"/>
              <w:right w:val="single" w:sz="4" w:space="0" w:color="auto"/>
            </w:tcBorders>
            <w:shd w:val="clear" w:color="auto" w:fill="FF7C80"/>
            <w:noWrap/>
            <w:vAlign w:val="bottom"/>
            <w:hideMark/>
          </w:tcPr>
          <w:p w14:paraId="37DB5B9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7554BA7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4E81690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55A7F60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7659EB44"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76F95860"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451 Nelson County</w:t>
            </w:r>
          </w:p>
        </w:tc>
        <w:tc>
          <w:tcPr>
            <w:tcW w:w="867" w:type="dxa"/>
            <w:tcBorders>
              <w:top w:val="nil"/>
              <w:left w:val="nil"/>
              <w:bottom w:val="single" w:sz="4" w:space="0" w:color="auto"/>
              <w:right w:val="single" w:sz="4" w:space="0" w:color="auto"/>
            </w:tcBorders>
            <w:shd w:val="clear" w:color="auto" w:fill="auto"/>
            <w:noWrap/>
            <w:vAlign w:val="bottom"/>
            <w:hideMark/>
          </w:tcPr>
          <w:p w14:paraId="56C03F94"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2853EF6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9/4/2001</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371405B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11/3/2005</w:t>
            </w:r>
          </w:p>
        </w:tc>
        <w:tc>
          <w:tcPr>
            <w:tcW w:w="1387" w:type="dxa"/>
            <w:tcBorders>
              <w:top w:val="nil"/>
              <w:left w:val="nil"/>
              <w:bottom w:val="single" w:sz="4" w:space="0" w:color="auto"/>
              <w:right w:val="single" w:sz="4" w:space="0" w:color="auto"/>
            </w:tcBorders>
            <w:shd w:val="clear" w:color="auto" w:fill="FF7C80"/>
            <w:noWrap/>
            <w:vAlign w:val="bottom"/>
            <w:hideMark/>
          </w:tcPr>
          <w:p w14:paraId="162BA89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23EEF59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21510BD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3D40B48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1EED00F0"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72A37C32"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452 Newport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04E08AF8"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354008D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74A0C5A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56CC4AF3" w14:textId="77777777" w:rsidR="00033751" w:rsidRPr="00033751" w:rsidRDefault="004427EB" w:rsidP="00033751">
            <w:pPr>
              <w:spacing w:after="0" w:line="240" w:lineRule="auto"/>
              <w:jc w:val="center"/>
              <w:rPr>
                <w:rFonts w:eastAsia="Times New Roman"/>
                <w:color w:val="000000"/>
                <w:sz w:val="18"/>
                <w:szCs w:val="18"/>
              </w:rPr>
            </w:pPr>
            <w:r w:rsidRPr="003A60F4">
              <w:rPr>
                <w:rFonts w:eastAsia="Times New Roman"/>
                <w:color w:val="000000"/>
                <w:sz w:val="18"/>
                <w:szCs w:val="18"/>
              </w:rPr>
              <w:t>1/11/2017</w:t>
            </w:r>
            <w:r w:rsidR="00033751"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766422A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7A92E48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7055997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0420C035"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0549AC2A"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455 Nicholas County</w:t>
            </w:r>
          </w:p>
        </w:tc>
        <w:tc>
          <w:tcPr>
            <w:tcW w:w="867" w:type="dxa"/>
            <w:tcBorders>
              <w:top w:val="nil"/>
              <w:left w:val="nil"/>
              <w:bottom w:val="single" w:sz="4" w:space="0" w:color="auto"/>
              <w:right w:val="single" w:sz="4" w:space="0" w:color="auto"/>
            </w:tcBorders>
            <w:shd w:val="clear" w:color="auto" w:fill="auto"/>
            <w:noWrap/>
            <w:vAlign w:val="bottom"/>
            <w:hideMark/>
          </w:tcPr>
          <w:p w14:paraId="765E8AD7"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2401542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6206A50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33F6BCB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9/5/2007</w:t>
            </w:r>
          </w:p>
        </w:tc>
        <w:tc>
          <w:tcPr>
            <w:tcW w:w="1387" w:type="dxa"/>
            <w:tcBorders>
              <w:top w:val="nil"/>
              <w:left w:val="nil"/>
              <w:bottom w:val="single" w:sz="4" w:space="0" w:color="auto"/>
              <w:right w:val="single" w:sz="4" w:space="0" w:color="auto"/>
            </w:tcBorders>
            <w:shd w:val="clear" w:color="000000" w:fill="CCC0DA"/>
            <w:noWrap/>
            <w:vAlign w:val="bottom"/>
            <w:hideMark/>
          </w:tcPr>
          <w:p w14:paraId="1BB3706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4DEC262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777FFD2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62FE253E"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777A5358"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461 Ohio County</w:t>
            </w:r>
          </w:p>
        </w:tc>
        <w:tc>
          <w:tcPr>
            <w:tcW w:w="867" w:type="dxa"/>
            <w:tcBorders>
              <w:top w:val="nil"/>
              <w:left w:val="nil"/>
              <w:bottom w:val="single" w:sz="4" w:space="0" w:color="auto"/>
              <w:right w:val="single" w:sz="4" w:space="0" w:color="auto"/>
            </w:tcBorders>
            <w:shd w:val="clear" w:color="auto" w:fill="auto"/>
            <w:noWrap/>
            <w:vAlign w:val="bottom"/>
            <w:hideMark/>
          </w:tcPr>
          <w:p w14:paraId="2ADC499C"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6000BC3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17415BF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41716E8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37AA883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2439596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4727F56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6291340C"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4AE79789"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465 Oldham County</w:t>
            </w:r>
          </w:p>
        </w:tc>
        <w:tc>
          <w:tcPr>
            <w:tcW w:w="867" w:type="dxa"/>
            <w:tcBorders>
              <w:top w:val="nil"/>
              <w:left w:val="nil"/>
              <w:bottom w:val="single" w:sz="4" w:space="0" w:color="auto"/>
              <w:right w:val="single" w:sz="4" w:space="0" w:color="auto"/>
            </w:tcBorders>
            <w:shd w:val="clear" w:color="auto" w:fill="auto"/>
            <w:noWrap/>
            <w:vAlign w:val="bottom"/>
            <w:hideMark/>
          </w:tcPr>
          <w:p w14:paraId="31AD3EB5"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5E4B7AB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10/21/1994</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10AFE44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8/28/2003</w:t>
            </w:r>
          </w:p>
        </w:tc>
        <w:tc>
          <w:tcPr>
            <w:tcW w:w="1387" w:type="dxa"/>
            <w:tcBorders>
              <w:top w:val="nil"/>
              <w:left w:val="nil"/>
              <w:bottom w:val="single" w:sz="4" w:space="0" w:color="auto"/>
              <w:right w:val="single" w:sz="4" w:space="0" w:color="auto"/>
            </w:tcBorders>
            <w:shd w:val="clear" w:color="auto" w:fill="FF7C80"/>
            <w:noWrap/>
            <w:vAlign w:val="bottom"/>
            <w:hideMark/>
          </w:tcPr>
          <w:p w14:paraId="46D6105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8/28/2003</w:t>
            </w:r>
          </w:p>
        </w:tc>
        <w:tc>
          <w:tcPr>
            <w:tcW w:w="1387" w:type="dxa"/>
            <w:tcBorders>
              <w:top w:val="nil"/>
              <w:left w:val="nil"/>
              <w:bottom w:val="single" w:sz="4" w:space="0" w:color="auto"/>
              <w:right w:val="single" w:sz="4" w:space="0" w:color="auto"/>
            </w:tcBorders>
            <w:shd w:val="clear" w:color="000000" w:fill="CCC0DA"/>
            <w:noWrap/>
            <w:vAlign w:val="bottom"/>
            <w:hideMark/>
          </w:tcPr>
          <w:p w14:paraId="1D3D1C6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4C76F2C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0A4DB7C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3B987593"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7786A4DF"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471 Owen County</w:t>
            </w:r>
          </w:p>
        </w:tc>
        <w:tc>
          <w:tcPr>
            <w:tcW w:w="867" w:type="dxa"/>
            <w:tcBorders>
              <w:top w:val="nil"/>
              <w:left w:val="nil"/>
              <w:bottom w:val="single" w:sz="4" w:space="0" w:color="auto"/>
              <w:right w:val="single" w:sz="4" w:space="0" w:color="auto"/>
            </w:tcBorders>
            <w:shd w:val="clear" w:color="auto" w:fill="auto"/>
            <w:noWrap/>
            <w:vAlign w:val="bottom"/>
            <w:hideMark/>
          </w:tcPr>
          <w:p w14:paraId="036FEA2A"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7776F72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29F40E8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12DDFAA2" w14:textId="2A6934B1" w:rsidR="00033751" w:rsidRPr="00033751" w:rsidRDefault="00264575" w:rsidP="00263CA4">
            <w:pPr>
              <w:spacing w:after="0" w:line="240" w:lineRule="auto"/>
              <w:jc w:val="center"/>
              <w:rPr>
                <w:rFonts w:eastAsia="Times New Roman"/>
                <w:color w:val="000000"/>
                <w:sz w:val="18"/>
                <w:szCs w:val="18"/>
              </w:rPr>
            </w:pPr>
            <w:r>
              <w:rPr>
                <w:rFonts w:eastAsia="Times New Roman"/>
                <w:color w:val="000000"/>
                <w:sz w:val="18"/>
                <w:szCs w:val="18"/>
              </w:rPr>
              <w:t>6/17/1999</w:t>
            </w:r>
          </w:p>
        </w:tc>
        <w:tc>
          <w:tcPr>
            <w:tcW w:w="1387" w:type="dxa"/>
            <w:tcBorders>
              <w:top w:val="nil"/>
              <w:left w:val="nil"/>
              <w:bottom w:val="single" w:sz="4" w:space="0" w:color="auto"/>
              <w:right w:val="single" w:sz="4" w:space="0" w:color="auto"/>
            </w:tcBorders>
            <w:shd w:val="clear" w:color="000000" w:fill="CCC0DA"/>
            <w:noWrap/>
            <w:vAlign w:val="bottom"/>
            <w:hideMark/>
          </w:tcPr>
          <w:p w14:paraId="68E4C50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8/15/2005</w:t>
            </w:r>
          </w:p>
        </w:tc>
        <w:tc>
          <w:tcPr>
            <w:tcW w:w="1214" w:type="dxa"/>
            <w:tcBorders>
              <w:top w:val="nil"/>
              <w:left w:val="nil"/>
              <w:bottom w:val="single" w:sz="4" w:space="0" w:color="auto"/>
              <w:right w:val="single" w:sz="4" w:space="0" w:color="auto"/>
            </w:tcBorders>
            <w:shd w:val="clear" w:color="000000" w:fill="F79646"/>
            <w:noWrap/>
            <w:vAlign w:val="bottom"/>
            <w:hideMark/>
          </w:tcPr>
          <w:p w14:paraId="2B68B0B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6A50DF6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03C3893A" w14:textId="77777777" w:rsidTr="00F74FEF">
        <w:trPr>
          <w:trHeight w:val="300"/>
        </w:trPr>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3507B"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472 Owensboro Independent</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374D8"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44F66D7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CD256C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auto" w:fill="FF7C80"/>
            <w:noWrap/>
            <w:vAlign w:val="bottom"/>
            <w:hideMark/>
          </w:tcPr>
          <w:p w14:paraId="6C5712DC" w14:textId="77777777" w:rsidR="00033751" w:rsidRPr="00FD21AD" w:rsidRDefault="00033751" w:rsidP="00033751">
            <w:pPr>
              <w:spacing w:after="0" w:line="240" w:lineRule="auto"/>
              <w:jc w:val="center"/>
              <w:rPr>
                <w:rFonts w:eastAsia="Times New Roman"/>
                <w:color w:val="000000"/>
                <w:sz w:val="18"/>
                <w:szCs w:val="18"/>
              </w:rPr>
            </w:pPr>
            <w:r w:rsidRPr="00FD21AD">
              <w:rPr>
                <w:rFonts w:eastAsia="Times New Roman"/>
                <w:color w:val="000000"/>
                <w:sz w:val="18"/>
                <w:szCs w:val="18"/>
              </w:rPr>
              <w:t> </w:t>
            </w:r>
            <w:r w:rsidR="004427EB" w:rsidRPr="00FD21AD">
              <w:rPr>
                <w:rFonts w:eastAsia="Times New Roman"/>
                <w:color w:val="000000"/>
                <w:sz w:val="18"/>
                <w:szCs w:val="18"/>
              </w:rPr>
              <w:t>2/23/2017</w:t>
            </w:r>
          </w:p>
        </w:tc>
        <w:tc>
          <w:tcPr>
            <w:tcW w:w="1387"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14:paraId="637B7F93" w14:textId="77777777" w:rsidR="00033751" w:rsidRPr="00FD21AD" w:rsidRDefault="00033751" w:rsidP="00033751">
            <w:pPr>
              <w:spacing w:after="0" w:line="240" w:lineRule="auto"/>
              <w:jc w:val="center"/>
              <w:rPr>
                <w:rFonts w:eastAsia="Times New Roman"/>
                <w:color w:val="000000"/>
                <w:sz w:val="18"/>
                <w:szCs w:val="18"/>
              </w:rPr>
            </w:pPr>
            <w:r w:rsidRPr="00FD21AD">
              <w:rPr>
                <w:rFonts w:eastAsia="Times New Roman"/>
                <w:color w:val="000000"/>
                <w:sz w:val="18"/>
                <w:szCs w:val="18"/>
              </w:rPr>
              <w:t> </w:t>
            </w:r>
          </w:p>
        </w:tc>
        <w:tc>
          <w:tcPr>
            <w:tcW w:w="1214" w:type="dxa"/>
            <w:tcBorders>
              <w:top w:val="single" w:sz="4" w:space="0" w:color="auto"/>
              <w:left w:val="single" w:sz="4" w:space="0" w:color="auto"/>
              <w:bottom w:val="single" w:sz="4" w:space="0" w:color="auto"/>
              <w:right w:val="single" w:sz="4" w:space="0" w:color="auto"/>
            </w:tcBorders>
            <w:shd w:val="clear" w:color="000000" w:fill="F79646"/>
            <w:noWrap/>
            <w:vAlign w:val="bottom"/>
            <w:hideMark/>
          </w:tcPr>
          <w:p w14:paraId="13DA1BC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14:paraId="3168279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75FF2816" w14:textId="77777777" w:rsidTr="00F74FEF">
        <w:trPr>
          <w:trHeight w:val="300"/>
        </w:trPr>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4207A"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475 Owsley County</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14:paraId="250EE12E"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single" w:sz="4" w:space="0" w:color="auto"/>
              <w:left w:val="nil"/>
              <w:bottom w:val="single" w:sz="4" w:space="0" w:color="auto"/>
              <w:right w:val="single" w:sz="4" w:space="0" w:color="auto"/>
            </w:tcBorders>
            <w:shd w:val="clear" w:color="auto" w:fill="FFD966" w:themeFill="accent4" w:themeFillTint="99"/>
            <w:vAlign w:val="bottom"/>
            <w:hideMark/>
          </w:tcPr>
          <w:p w14:paraId="46E17B1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533C62A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nil"/>
              <w:bottom w:val="single" w:sz="4" w:space="0" w:color="auto"/>
              <w:right w:val="single" w:sz="4" w:space="0" w:color="auto"/>
            </w:tcBorders>
            <w:shd w:val="clear" w:color="auto" w:fill="FF7C80"/>
            <w:noWrap/>
            <w:vAlign w:val="bottom"/>
            <w:hideMark/>
          </w:tcPr>
          <w:p w14:paraId="4EA22C3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nil"/>
              <w:bottom w:val="single" w:sz="4" w:space="0" w:color="auto"/>
              <w:right w:val="single" w:sz="4" w:space="0" w:color="auto"/>
            </w:tcBorders>
            <w:shd w:val="clear" w:color="000000" w:fill="CCC0DA"/>
            <w:noWrap/>
            <w:vAlign w:val="bottom"/>
            <w:hideMark/>
          </w:tcPr>
          <w:p w14:paraId="3E87EC2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single" w:sz="4" w:space="0" w:color="auto"/>
              <w:left w:val="nil"/>
              <w:bottom w:val="single" w:sz="4" w:space="0" w:color="auto"/>
              <w:right w:val="single" w:sz="4" w:space="0" w:color="auto"/>
            </w:tcBorders>
            <w:shd w:val="clear" w:color="000000" w:fill="F79646"/>
            <w:noWrap/>
            <w:vAlign w:val="bottom"/>
            <w:hideMark/>
          </w:tcPr>
          <w:p w14:paraId="7F7ADB9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single" w:sz="4" w:space="0" w:color="auto"/>
              <w:left w:val="nil"/>
              <w:bottom w:val="single" w:sz="4" w:space="0" w:color="auto"/>
              <w:right w:val="single" w:sz="4" w:space="0" w:color="auto"/>
            </w:tcBorders>
            <w:shd w:val="clear" w:color="auto" w:fill="A8D08D" w:themeFill="accent6" w:themeFillTint="99"/>
            <w:noWrap/>
            <w:vAlign w:val="bottom"/>
            <w:hideMark/>
          </w:tcPr>
          <w:p w14:paraId="2747511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6AEFEB8B"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58B1C56F"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476 Paducah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36F00D77"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3241556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0F768C6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51F58E3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8/13/2007</w:t>
            </w:r>
          </w:p>
        </w:tc>
        <w:tc>
          <w:tcPr>
            <w:tcW w:w="1387" w:type="dxa"/>
            <w:tcBorders>
              <w:top w:val="nil"/>
              <w:left w:val="nil"/>
              <w:bottom w:val="single" w:sz="4" w:space="0" w:color="auto"/>
              <w:right w:val="single" w:sz="4" w:space="0" w:color="auto"/>
            </w:tcBorders>
            <w:shd w:val="clear" w:color="000000" w:fill="CCC0DA"/>
            <w:noWrap/>
            <w:vAlign w:val="bottom"/>
            <w:hideMark/>
          </w:tcPr>
          <w:p w14:paraId="545E5176" w14:textId="65A5E9AA" w:rsidR="00033751" w:rsidRPr="004642E5" w:rsidRDefault="00D86DED" w:rsidP="00D86DED">
            <w:pPr>
              <w:spacing w:after="0" w:line="240" w:lineRule="auto"/>
              <w:jc w:val="center"/>
              <w:rPr>
                <w:rFonts w:eastAsia="Times New Roman"/>
                <w:color w:val="000000"/>
                <w:sz w:val="18"/>
                <w:szCs w:val="18"/>
              </w:rPr>
            </w:pPr>
            <w:r w:rsidRPr="004642E5">
              <w:rPr>
                <w:rFonts w:eastAsia="Times New Roman"/>
                <w:color w:val="000000"/>
                <w:sz w:val="18"/>
                <w:szCs w:val="18"/>
              </w:rPr>
              <w:t>8/13/2007</w:t>
            </w:r>
            <w:r w:rsidR="00033751" w:rsidRPr="004642E5">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4168088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4F1B71F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79899D24"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112C1308"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477 Paintsville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62E2E429"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3557D2F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0544E79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3F750C2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9/12/2011</w:t>
            </w:r>
          </w:p>
        </w:tc>
        <w:tc>
          <w:tcPr>
            <w:tcW w:w="1387" w:type="dxa"/>
            <w:tcBorders>
              <w:top w:val="nil"/>
              <w:left w:val="nil"/>
              <w:bottom w:val="single" w:sz="4" w:space="0" w:color="auto"/>
              <w:right w:val="single" w:sz="4" w:space="0" w:color="auto"/>
            </w:tcBorders>
            <w:shd w:val="clear" w:color="000000" w:fill="CCC0DA"/>
            <w:noWrap/>
            <w:vAlign w:val="bottom"/>
            <w:hideMark/>
          </w:tcPr>
          <w:p w14:paraId="086029E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6C33844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0F66E5C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2E7B2018" w14:textId="77777777" w:rsidTr="00F74FEF">
        <w:trPr>
          <w:trHeight w:val="300"/>
        </w:trPr>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E6178"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478 Paris Independent</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E07F1"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4513901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A8C105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auto" w:fill="FF7C80"/>
            <w:noWrap/>
            <w:vAlign w:val="bottom"/>
            <w:hideMark/>
          </w:tcPr>
          <w:p w14:paraId="036A04DA" w14:textId="77777777" w:rsidR="00B0340E" w:rsidRDefault="00FF0A20" w:rsidP="00033751">
            <w:pPr>
              <w:spacing w:after="0" w:line="240" w:lineRule="auto"/>
              <w:jc w:val="center"/>
              <w:rPr>
                <w:rFonts w:eastAsia="Times New Roman"/>
                <w:color w:val="000000"/>
                <w:sz w:val="18"/>
                <w:szCs w:val="18"/>
              </w:rPr>
            </w:pPr>
            <w:r>
              <w:rPr>
                <w:rFonts w:eastAsia="Times New Roman"/>
                <w:color w:val="000000"/>
                <w:sz w:val="18"/>
                <w:szCs w:val="18"/>
              </w:rPr>
              <w:t>8/19/2021 (double)</w:t>
            </w:r>
            <w:r w:rsidR="00B0340E">
              <w:rPr>
                <w:rFonts w:eastAsia="Times New Roman"/>
                <w:color w:val="000000"/>
                <w:sz w:val="18"/>
                <w:szCs w:val="18"/>
              </w:rPr>
              <w:t xml:space="preserve">, </w:t>
            </w:r>
          </w:p>
          <w:p w14:paraId="0A5B7362" w14:textId="5AAED7A5" w:rsidR="00033751" w:rsidRPr="00B0340E" w:rsidRDefault="00B0340E" w:rsidP="00033751">
            <w:pPr>
              <w:spacing w:after="0" w:line="240" w:lineRule="auto"/>
              <w:jc w:val="center"/>
              <w:rPr>
                <w:rFonts w:eastAsia="Times New Roman"/>
                <w:b/>
                <w:bCs/>
                <w:color w:val="000000"/>
                <w:sz w:val="18"/>
                <w:szCs w:val="18"/>
              </w:rPr>
            </w:pPr>
            <w:r w:rsidRPr="00B0340E">
              <w:rPr>
                <w:rFonts w:eastAsia="Times New Roman"/>
                <w:b/>
                <w:bCs/>
                <w:color w:val="000000"/>
                <w:sz w:val="18"/>
                <w:szCs w:val="18"/>
              </w:rPr>
              <w:t>8/31/23</w:t>
            </w:r>
            <w:r w:rsidR="00033751" w:rsidRPr="00B0340E">
              <w:rPr>
                <w:rFonts w:eastAsia="Times New Roman"/>
                <w:b/>
                <w:bCs/>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14:paraId="71663CA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single" w:sz="4" w:space="0" w:color="auto"/>
              <w:left w:val="single" w:sz="4" w:space="0" w:color="auto"/>
              <w:bottom w:val="single" w:sz="4" w:space="0" w:color="auto"/>
              <w:right w:val="single" w:sz="4" w:space="0" w:color="auto"/>
            </w:tcBorders>
            <w:shd w:val="clear" w:color="000000" w:fill="F79646"/>
            <w:noWrap/>
            <w:vAlign w:val="bottom"/>
            <w:hideMark/>
          </w:tcPr>
          <w:p w14:paraId="7A31F2D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14:paraId="693EEF9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0F08CB8C" w14:textId="77777777" w:rsidTr="00F74FEF">
        <w:trPr>
          <w:trHeight w:val="300"/>
        </w:trPr>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B0C30"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481 Pendleton County</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14:paraId="255F749E"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single" w:sz="4" w:space="0" w:color="auto"/>
              <w:left w:val="nil"/>
              <w:bottom w:val="single" w:sz="4" w:space="0" w:color="auto"/>
              <w:right w:val="single" w:sz="4" w:space="0" w:color="auto"/>
            </w:tcBorders>
            <w:shd w:val="clear" w:color="auto" w:fill="FFD966" w:themeFill="accent4" w:themeFillTint="99"/>
            <w:vAlign w:val="bottom"/>
            <w:hideMark/>
          </w:tcPr>
          <w:p w14:paraId="5A09897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8/28/2003</w:t>
            </w:r>
          </w:p>
        </w:tc>
        <w:tc>
          <w:tcPr>
            <w:tcW w:w="138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3AEAAF2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8/21/2003</w:t>
            </w:r>
          </w:p>
        </w:tc>
        <w:tc>
          <w:tcPr>
            <w:tcW w:w="1387" w:type="dxa"/>
            <w:tcBorders>
              <w:top w:val="single" w:sz="4" w:space="0" w:color="auto"/>
              <w:left w:val="nil"/>
              <w:bottom w:val="single" w:sz="4" w:space="0" w:color="auto"/>
              <w:right w:val="single" w:sz="4" w:space="0" w:color="auto"/>
            </w:tcBorders>
            <w:shd w:val="clear" w:color="auto" w:fill="FF7C80"/>
            <w:noWrap/>
            <w:vAlign w:val="bottom"/>
            <w:hideMark/>
          </w:tcPr>
          <w:p w14:paraId="584E7C1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nil"/>
              <w:bottom w:val="single" w:sz="4" w:space="0" w:color="auto"/>
              <w:right w:val="single" w:sz="4" w:space="0" w:color="auto"/>
            </w:tcBorders>
            <w:shd w:val="clear" w:color="000000" w:fill="CCC0DA"/>
            <w:noWrap/>
            <w:vAlign w:val="bottom"/>
            <w:hideMark/>
          </w:tcPr>
          <w:p w14:paraId="55FAF05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single" w:sz="4" w:space="0" w:color="auto"/>
              <w:left w:val="nil"/>
              <w:bottom w:val="single" w:sz="4" w:space="0" w:color="auto"/>
              <w:right w:val="single" w:sz="4" w:space="0" w:color="auto"/>
            </w:tcBorders>
            <w:shd w:val="clear" w:color="000000" w:fill="F79646"/>
            <w:noWrap/>
            <w:vAlign w:val="bottom"/>
            <w:hideMark/>
          </w:tcPr>
          <w:p w14:paraId="16E33B1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single" w:sz="4" w:space="0" w:color="auto"/>
              <w:left w:val="nil"/>
              <w:bottom w:val="single" w:sz="4" w:space="0" w:color="auto"/>
              <w:right w:val="single" w:sz="4" w:space="0" w:color="auto"/>
            </w:tcBorders>
            <w:shd w:val="clear" w:color="auto" w:fill="A8D08D" w:themeFill="accent6" w:themeFillTint="99"/>
            <w:noWrap/>
            <w:vAlign w:val="bottom"/>
            <w:hideMark/>
          </w:tcPr>
          <w:p w14:paraId="265E69A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4EA441A9"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5F756817"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485 Perry County</w:t>
            </w:r>
          </w:p>
        </w:tc>
        <w:tc>
          <w:tcPr>
            <w:tcW w:w="867" w:type="dxa"/>
            <w:tcBorders>
              <w:top w:val="nil"/>
              <w:left w:val="nil"/>
              <w:bottom w:val="single" w:sz="4" w:space="0" w:color="auto"/>
              <w:right w:val="single" w:sz="4" w:space="0" w:color="auto"/>
            </w:tcBorders>
            <w:shd w:val="clear" w:color="auto" w:fill="auto"/>
            <w:noWrap/>
            <w:vAlign w:val="bottom"/>
            <w:hideMark/>
          </w:tcPr>
          <w:p w14:paraId="362716F8"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14A8EF0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2FE7A01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63F5481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53DB0A2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15220AD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560666D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9/9/2010</w:t>
            </w:r>
          </w:p>
        </w:tc>
      </w:tr>
      <w:tr w:rsidR="004933DE" w:rsidRPr="00033751" w14:paraId="4682CB84"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0E77DE65"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491 Pike County</w:t>
            </w:r>
          </w:p>
        </w:tc>
        <w:tc>
          <w:tcPr>
            <w:tcW w:w="867" w:type="dxa"/>
            <w:tcBorders>
              <w:top w:val="nil"/>
              <w:left w:val="nil"/>
              <w:bottom w:val="single" w:sz="4" w:space="0" w:color="auto"/>
              <w:right w:val="single" w:sz="4" w:space="0" w:color="auto"/>
            </w:tcBorders>
            <w:shd w:val="clear" w:color="auto" w:fill="auto"/>
            <w:noWrap/>
            <w:vAlign w:val="bottom"/>
            <w:hideMark/>
          </w:tcPr>
          <w:p w14:paraId="279B6EAF"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10F1E69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2B27555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1F00DBF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7F028C6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1FD071A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1AA4FCC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9/2/2010</w:t>
            </w:r>
          </w:p>
        </w:tc>
      </w:tr>
      <w:tr w:rsidR="004933DE" w:rsidRPr="00033751" w14:paraId="07D6086A"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22C663A4"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492 Pikeville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2FE95881"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25F5231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48509F4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57FAF97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5240936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1262F1F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78E86E2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62237707"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390D79F0"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493 Pineville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550BC534"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3F992DA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7278A69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3C68A30B" w14:textId="77777777" w:rsid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8/20/2007</w:t>
            </w:r>
          </w:p>
          <w:p w14:paraId="199B1F82" w14:textId="6B911E62" w:rsidR="00B0340E" w:rsidRPr="00B0340E" w:rsidRDefault="00B0340E" w:rsidP="00033751">
            <w:pPr>
              <w:spacing w:after="0" w:line="240" w:lineRule="auto"/>
              <w:jc w:val="center"/>
              <w:rPr>
                <w:rFonts w:eastAsia="Times New Roman"/>
                <w:b/>
                <w:bCs/>
                <w:color w:val="000000"/>
                <w:sz w:val="18"/>
                <w:szCs w:val="18"/>
              </w:rPr>
            </w:pPr>
            <w:r w:rsidRPr="00B0340E">
              <w:rPr>
                <w:rFonts w:eastAsia="Times New Roman"/>
                <w:b/>
                <w:bCs/>
                <w:color w:val="000000"/>
                <w:sz w:val="18"/>
                <w:szCs w:val="18"/>
              </w:rPr>
              <w:t>9/7/2023</w:t>
            </w:r>
          </w:p>
        </w:tc>
        <w:tc>
          <w:tcPr>
            <w:tcW w:w="1387" w:type="dxa"/>
            <w:tcBorders>
              <w:top w:val="nil"/>
              <w:left w:val="nil"/>
              <w:bottom w:val="single" w:sz="4" w:space="0" w:color="auto"/>
              <w:right w:val="single" w:sz="4" w:space="0" w:color="auto"/>
            </w:tcBorders>
            <w:shd w:val="clear" w:color="000000" w:fill="CCC0DA"/>
            <w:noWrap/>
            <w:vAlign w:val="bottom"/>
            <w:hideMark/>
          </w:tcPr>
          <w:p w14:paraId="6F148A6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020F6D6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24E4371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3FC237D0"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059A456D"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495 Powell County</w:t>
            </w:r>
          </w:p>
        </w:tc>
        <w:tc>
          <w:tcPr>
            <w:tcW w:w="867" w:type="dxa"/>
            <w:tcBorders>
              <w:top w:val="nil"/>
              <w:left w:val="nil"/>
              <w:bottom w:val="single" w:sz="4" w:space="0" w:color="auto"/>
              <w:right w:val="single" w:sz="4" w:space="0" w:color="auto"/>
            </w:tcBorders>
            <w:shd w:val="clear" w:color="auto" w:fill="auto"/>
            <w:noWrap/>
            <w:vAlign w:val="bottom"/>
            <w:hideMark/>
          </w:tcPr>
          <w:p w14:paraId="0A662012"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0AE9123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2A6D240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380CA631" w14:textId="77777777" w:rsidR="00033751" w:rsidRPr="00033751" w:rsidRDefault="00FF0A20" w:rsidP="00033751">
            <w:pPr>
              <w:spacing w:after="0" w:line="240" w:lineRule="auto"/>
              <w:jc w:val="center"/>
              <w:rPr>
                <w:rFonts w:eastAsia="Times New Roman"/>
                <w:color w:val="000000"/>
                <w:sz w:val="18"/>
                <w:szCs w:val="18"/>
              </w:rPr>
            </w:pPr>
            <w:r>
              <w:rPr>
                <w:rFonts w:eastAsia="Times New Roman"/>
                <w:color w:val="000000"/>
                <w:sz w:val="18"/>
                <w:szCs w:val="18"/>
              </w:rPr>
              <w:t>12/19/2019</w:t>
            </w:r>
            <w:r w:rsidR="00033751"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58508AB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24E6F51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4B56107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23B67B00"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18E40234"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501 Pulaski County</w:t>
            </w:r>
          </w:p>
        </w:tc>
        <w:tc>
          <w:tcPr>
            <w:tcW w:w="867" w:type="dxa"/>
            <w:tcBorders>
              <w:top w:val="nil"/>
              <w:left w:val="nil"/>
              <w:bottom w:val="single" w:sz="4" w:space="0" w:color="auto"/>
              <w:right w:val="single" w:sz="4" w:space="0" w:color="auto"/>
            </w:tcBorders>
            <w:shd w:val="clear" w:color="auto" w:fill="auto"/>
            <w:noWrap/>
            <w:vAlign w:val="bottom"/>
            <w:hideMark/>
          </w:tcPr>
          <w:p w14:paraId="7E353DFC"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5B97D61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9/12/2006</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6AFE3A8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3619248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7D9AA80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312C163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035D0C8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3FE67626"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2A996E51"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502 Raceland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5B29DF8F"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70724B6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6BC2F80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31B1B6C0" w14:textId="77777777" w:rsidR="00033751" w:rsidRPr="00033751" w:rsidRDefault="0072734A" w:rsidP="00033751">
            <w:pPr>
              <w:spacing w:after="0" w:line="240" w:lineRule="auto"/>
              <w:jc w:val="center"/>
              <w:rPr>
                <w:rFonts w:eastAsia="Times New Roman"/>
                <w:color w:val="000000"/>
                <w:sz w:val="18"/>
                <w:szCs w:val="18"/>
              </w:rPr>
            </w:pPr>
            <w:r>
              <w:rPr>
                <w:rFonts w:eastAsia="Times New Roman"/>
                <w:color w:val="000000"/>
                <w:sz w:val="18"/>
                <w:szCs w:val="18"/>
              </w:rPr>
              <w:t>2/20/2015</w:t>
            </w:r>
            <w:r w:rsidR="00033751"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09BCC2F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2991123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3D74AB9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652382F8"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074F6A8C"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505 Robertson County</w:t>
            </w:r>
          </w:p>
        </w:tc>
        <w:tc>
          <w:tcPr>
            <w:tcW w:w="867" w:type="dxa"/>
            <w:tcBorders>
              <w:top w:val="nil"/>
              <w:left w:val="nil"/>
              <w:bottom w:val="single" w:sz="4" w:space="0" w:color="auto"/>
              <w:right w:val="single" w:sz="4" w:space="0" w:color="auto"/>
            </w:tcBorders>
            <w:shd w:val="clear" w:color="auto" w:fill="auto"/>
            <w:noWrap/>
            <w:vAlign w:val="bottom"/>
            <w:hideMark/>
          </w:tcPr>
          <w:p w14:paraId="0CB72F11"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6A95471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7BD5F64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5A5509D5" w14:textId="0395A761" w:rsidR="00033751" w:rsidRPr="00CD6B92" w:rsidRDefault="00033751" w:rsidP="00033751">
            <w:pPr>
              <w:spacing w:after="0" w:line="240" w:lineRule="auto"/>
              <w:jc w:val="center"/>
              <w:rPr>
                <w:rFonts w:eastAsia="Times New Roman"/>
                <w:b/>
                <w:bCs/>
                <w:color w:val="000000"/>
                <w:sz w:val="18"/>
                <w:szCs w:val="18"/>
              </w:rPr>
            </w:pPr>
            <w:r w:rsidRPr="00033751">
              <w:rPr>
                <w:rFonts w:eastAsia="Times New Roman"/>
                <w:color w:val="000000"/>
                <w:sz w:val="18"/>
                <w:szCs w:val="18"/>
              </w:rPr>
              <w:t> </w:t>
            </w:r>
            <w:r w:rsidR="00CD6B92" w:rsidRPr="00CD6B92">
              <w:rPr>
                <w:rFonts w:eastAsia="Times New Roman"/>
                <w:b/>
                <w:bCs/>
                <w:color w:val="000000"/>
                <w:sz w:val="18"/>
                <w:szCs w:val="18"/>
              </w:rPr>
              <w:t>5/10/2023</w:t>
            </w:r>
            <w:r w:rsidR="00CD6B92">
              <w:rPr>
                <w:rFonts w:eastAsia="Times New Roman"/>
                <w:b/>
                <w:bCs/>
                <w:color w:val="000000"/>
                <w:sz w:val="18"/>
                <w:szCs w:val="18"/>
              </w:rPr>
              <w:t xml:space="preserve"> </w:t>
            </w:r>
          </w:p>
        </w:tc>
        <w:tc>
          <w:tcPr>
            <w:tcW w:w="1387" w:type="dxa"/>
            <w:tcBorders>
              <w:top w:val="nil"/>
              <w:left w:val="nil"/>
              <w:bottom w:val="single" w:sz="4" w:space="0" w:color="auto"/>
              <w:right w:val="single" w:sz="4" w:space="0" w:color="auto"/>
            </w:tcBorders>
            <w:shd w:val="clear" w:color="000000" w:fill="CCC0DA"/>
            <w:noWrap/>
            <w:vAlign w:val="bottom"/>
            <w:hideMark/>
          </w:tcPr>
          <w:p w14:paraId="0B6711B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0C1F4B1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279047E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9/16/2010</w:t>
            </w:r>
          </w:p>
        </w:tc>
      </w:tr>
      <w:tr w:rsidR="004933DE" w:rsidRPr="00033751" w14:paraId="2FEB0809"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1E644F52"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511 Rockcastle County</w:t>
            </w:r>
          </w:p>
        </w:tc>
        <w:tc>
          <w:tcPr>
            <w:tcW w:w="867" w:type="dxa"/>
            <w:tcBorders>
              <w:top w:val="nil"/>
              <w:left w:val="nil"/>
              <w:bottom w:val="single" w:sz="4" w:space="0" w:color="auto"/>
              <w:right w:val="single" w:sz="4" w:space="0" w:color="auto"/>
            </w:tcBorders>
            <w:shd w:val="clear" w:color="auto" w:fill="auto"/>
            <w:noWrap/>
            <w:vAlign w:val="bottom"/>
            <w:hideMark/>
          </w:tcPr>
          <w:p w14:paraId="0943AD7F"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0463972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7BAAD84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6439356D" w14:textId="77777777" w:rsidR="00033751" w:rsidRPr="00033751" w:rsidRDefault="00761A2A" w:rsidP="00033751">
            <w:pPr>
              <w:spacing w:after="0" w:line="240" w:lineRule="auto"/>
              <w:jc w:val="center"/>
              <w:rPr>
                <w:rFonts w:eastAsia="Times New Roman"/>
                <w:color w:val="000000"/>
                <w:sz w:val="18"/>
                <w:szCs w:val="18"/>
              </w:rPr>
            </w:pPr>
            <w:r>
              <w:rPr>
                <w:rFonts w:eastAsia="Times New Roman"/>
                <w:color w:val="000000"/>
                <w:sz w:val="18"/>
                <w:szCs w:val="18"/>
              </w:rPr>
              <w:t>9/2/2021</w:t>
            </w:r>
            <w:r w:rsidR="00033751"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01C371A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41EB484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7A41231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4FD3F418"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66A01869"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515 Rowan County</w:t>
            </w:r>
          </w:p>
        </w:tc>
        <w:tc>
          <w:tcPr>
            <w:tcW w:w="867" w:type="dxa"/>
            <w:tcBorders>
              <w:top w:val="nil"/>
              <w:left w:val="nil"/>
              <w:bottom w:val="single" w:sz="4" w:space="0" w:color="auto"/>
              <w:right w:val="single" w:sz="4" w:space="0" w:color="auto"/>
            </w:tcBorders>
            <w:shd w:val="clear" w:color="auto" w:fill="auto"/>
            <w:noWrap/>
            <w:vAlign w:val="bottom"/>
            <w:hideMark/>
          </w:tcPr>
          <w:p w14:paraId="26D55780"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618A9DC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1DD45BD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76D46B4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8/14/2007</w:t>
            </w:r>
          </w:p>
        </w:tc>
        <w:tc>
          <w:tcPr>
            <w:tcW w:w="1387" w:type="dxa"/>
            <w:tcBorders>
              <w:top w:val="nil"/>
              <w:left w:val="nil"/>
              <w:bottom w:val="single" w:sz="4" w:space="0" w:color="auto"/>
              <w:right w:val="single" w:sz="4" w:space="0" w:color="auto"/>
            </w:tcBorders>
            <w:shd w:val="clear" w:color="000000" w:fill="CCC0DA"/>
            <w:noWrap/>
            <w:vAlign w:val="bottom"/>
            <w:hideMark/>
          </w:tcPr>
          <w:p w14:paraId="4E24354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5E1D689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2941793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4375B254"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114810A4"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lastRenderedPageBreak/>
              <w:t>521 Russell County</w:t>
            </w:r>
          </w:p>
        </w:tc>
        <w:tc>
          <w:tcPr>
            <w:tcW w:w="867" w:type="dxa"/>
            <w:tcBorders>
              <w:top w:val="nil"/>
              <w:left w:val="nil"/>
              <w:bottom w:val="single" w:sz="4" w:space="0" w:color="auto"/>
              <w:right w:val="single" w:sz="4" w:space="0" w:color="auto"/>
            </w:tcBorders>
            <w:shd w:val="clear" w:color="auto" w:fill="auto"/>
            <w:noWrap/>
            <w:vAlign w:val="bottom"/>
            <w:hideMark/>
          </w:tcPr>
          <w:p w14:paraId="14B327D7"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380C28C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11/20/2006</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4585A46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32FFCC4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9/15/2003</w:t>
            </w:r>
          </w:p>
        </w:tc>
        <w:tc>
          <w:tcPr>
            <w:tcW w:w="1387" w:type="dxa"/>
            <w:tcBorders>
              <w:top w:val="nil"/>
              <w:left w:val="nil"/>
              <w:bottom w:val="single" w:sz="4" w:space="0" w:color="auto"/>
              <w:right w:val="single" w:sz="4" w:space="0" w:color="auto"/>
            </w:tcBorders>
            <w:shd w:val="clear" w:color="000000" w:fill="CCC0DA"/>
            <w:noWrap/>
            <w:vAlign w:val="bottom"/>
            <w:hideMark/>
          </w:tcPr>
          <w:p w14:paraId="1A4D35C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1F15200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0879CB3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6B2BA7C8"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154726F2"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522 Russell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65ADD100"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5837EAF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743D797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7568C5F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4F80179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0016850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7AFA30B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54A40869"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04D0A044"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523 Russellville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52A106E0"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0691A5B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1C8FAF0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4F3B87C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9/5/2006</w:t>
            </w:r>
          </w:p>
        </w:tc>
        <w:tc>
          <w:tcPr>
            <w:tcW w:w="1387" w:type="dxa"/>
            <w:tcBorders>
              <w:top w:val="nil"/>
              <w:left w:val="nil"/>
              <w:bottom w:val="single" w:sz="4" w:space="0" w:color="auto"/>
              <w:right w:val="single" w:sz="4" w:space="0" w:color="auto"/>
            </w:tcBorders>
            <w:shd w:val="clear" w:color="000000" w:fill="CCC0DA"/>
            <w:noWrap/>
            <w:vAlign w:val="bottom"/>
            <w:hideMark/>
          </w:tcPr>
          <w:p w14:paraId="39D5838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4F24043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33C2D64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1A369214"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33E38614"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524 Science Hill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3A9B7041"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782E2FE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1EF1676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2E19694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9/6/2005</w:t>
            </w:r>
          </w:p>
        </w:tc>
        <w:tc>
          <w:tcPr>
            <w:tcW w:w="1387" w:type="dxa"/>
            <w:tcBorders>
              <w:top w:val="nil"/>
              <w:left w:val="nil"/>
              <w:bottom w:val="single" w:sz="4" w:space="0" w:color="auto"/>
              <w:right w:val="single" w:sz="4" w:space="0" w:color="auto"/>
            </w:tcBorders>
            <w:shd w:val="clear" w:color="000000" w:fill="CCC0DA"/>
            <w:noWrap/>
            <w:vAlign w:val="bottom"/>
            <w:hideMark/>
          </w:tcPr>
          <w:p w14:paraId="1FE8E13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4414268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54173AC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75D9B3BC"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3A8EBC11"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525 Scott County</w:t>
            </w:r>
          </w:p>
        </w:tc>
        <w:tc>
          <w:tcPr>
            <w:tcW w:w="867" w:type="dxa"/>
            <w:tcBorders>
              <w:top w:val="nil"/>
              <w:left w:val="nil"/>
              <w:bottom w:val="single" w:sz="4" w:space="0" w:color="auto"/>
              <w:right w:val="single" w:sz="4" w:space="0" w:color="auto"/>
            </w:tcBorders>
            <w:shd w:val="clear" w:color="auto" w:fill="auto"/>
            <w:noWrap/>
            <w:vAlign w:val="bottom"/>
            <w:hideMark/>
          </w:tcPr>
          <w:p w14:paraId="10D1B7DD"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58874B0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12/5/1994</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5956897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8/25/2003</w:t>
            </w:r>
          </w:p>
        </w:tc>
        <w:tc>
          <w:tcPr>
            <w:tcW w:w="1387" w:type="dxa"/>
            <w:tcBorders>
              <w:top w:val="nil"/>
              <w:left w:val="nil"/>
              <w:bottom w:val="single" w:sz="4" w:space="0" w:color="auto"/>
              <w:right w:val="single" w:sz="4" w:space="0" w:color="auto"/>
            </w:tcBorders>
            <w:shd w:val="clear" w:color="auto" w:fill="FF7C80"/>
            <w:noWrap/>
            <w:vAlign w:val="bottom"/>
            <w:hideMark/>
          </w:tcPr>
          <w:p w14:paraId="67E5457E" w14:textId="77777777" w:rsidR="00033751" w:rsidRPr="00033751" w:rsidRDefault="004427EB" w:rsidP="00033751">
            <w:pPr>
              <w:spacing w:after="0" w:line="240" w:lineRule="auto"/>
              <w:jc w:val="center"/>
              <w:rPr>
                <w:rFonts w:eastAsia="Times New Roman"/>
                <w:color w:val="000000"/>
                <w:sz w:val="18"/>
                <w:szCs w:val="18"/>
              </w:rPr>
            </w:pPr>
            <w:r w:rsidRPr="00FD21AD">
              <w:rPr>
                <w:rFonts w:eastAsia="Times New Roman"/>
                <w:color w:val="000000"/>
                <w:sz w:val="18"/>
                <w:szCs w:val="18"/>
              </w:rPr>
              <w:t>1/10/2017</w:t>
            </w:r>
            <w:r w:rsidR="00033751"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61A7DEB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0019156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5D5736A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3887B44D"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3BD12ACF"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531 Shelby County</w:t>
            </w:r>
          </w:p>
        </w:tc>
        <w:tc>
          <w:tcPr>
            <w:tcW w:w="867" w:type="dxa"/>
            <w:tcBorders>
              <w:top w:val="nil"/>
              <w:left w:val="nil"/>
              <w:bottom w:val="single" w:sz="4" w:space="0" w:color="auto"/>
              <w:right w:val="single" w:sz="4" w:space="0" w:color="auto"/>
            </w:tcBorders>
            <w:shd w:val="clear" w:color="auto" w:fill="auto"/>
            <w:noWrap/>
            <w:vAlign w:val="bottom"/>
            <w:hideMark/>
          </w:tcPr>
          <w:p w14:paraId="6264163F"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34B660E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9/28/2000</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53B14F7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9/4/2003</w:t>
            </w:r>
          </w:p>
        </w:tc>
        <w:tc>
          <w:tcPr>
            <w:tcW w:w="1387" w:type="dxa"/>
            <w:tcBorders>
              <w:top w:val="nil"/>
              <w:left w:val="nil"/>
              <w:bottom w:val="single" w:sz="4" w:space="0" w:color="auto"/>
              <w:right w:val="single" w:sz="4" w:space="0" w:color="auto"/>
            </w:tcBorders>
            <w:shd w:val="clear" w:color="auto" w:fill="FF7C80"/>
            <w:noWrap/>
            <w:vAlign w:val="bottom"/>
            <w:hideMark/>
          </w:tcPr>
          <w:p w14:paraId="5442939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192528B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419840B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08F84BF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1F7F80F3" w14:textId="77777777" w:rsidTr="00F74FEF">
        <w:trPr>
          <w:trHeight w:val="300"/>
        </w:trPr>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CB8D3"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535 Simpson County</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14:paraId="6DEB6219"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single" w:sz="4" w:space="0" w:color="auto"/>
              <w:left w:val="nil"/>
              <w:bottom w:val="single" w:sz="4" w:space="0" w:color="auto"/>
              <w:right w:val="single" w:sz="4" w:space="0" w:color="auto"/>
            </w:tcBorders>
            <w:shd w:val="clear" w:color="auto" w:fill="FFD966" w:themeFill="accent4" w:themeFillTint="99"/>
            <w:vAlign w:val="bottom"/>
            <w:hideMark/>
          </w:tcPr>
          <w:p w14:paraId="7A1F450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1CA8FA3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nil"/>
              <w:bottom w:val="single" w:sz="4" w:space="0" w:color="auto"/>
              <w:right w:val="single" w:sz="4" w:space="0" w:color="auto"/>
            </w:tcBorders>
            <w:shd w:val="clear" w:color="auto" w:fill="FF7C80"/>
            <w:noWrap/>
            <w:vAlign w:val="bottom"/>
            <w:hideMark/>
          </w:tcPr>
          <w:p w14:paraId="1992BDA9" w14:textId="3263F92A" w:rsidR="00033751" w:rsidRPr="00E06B5A" w:rsidRDefault="00E06B5A" w:rsidP="00033751">
            <w:pPr>
              <w:spacing w:after="0" w:line="240" w:lineRule="auto"/>
              <w:jc w:val="center"/>
              <w:rPr>
                <w:rFonts w:eastAsia="Times New Roman"/>
                <w:b/>
                <w:bCs/>
                <w:color w:val="000000"/>
                <w:sz w:val="18"/>
                <w:szCs w:val="18"/>
              </w:rPr>
            </w:pPr>
            <w:r w:rsidRPr="00E06B5A">
              <w:rPr>
                <w:rFonts w:eastAsia="Times New Roman"/>
                <w:b/>
                <w:bCs/>
                <w:color w:val="000000"/>
                <w:sz w:val="18"/>
                <w:szCs w:val="18"/>
              </w:rPr>
              <w:t>12/15/2022</w:t>
            </w:r>
            <w:r w:rsidR="00033751" w:rsidRPr="00E06B5A">
              <w:rPr>
                <w:rFonts w:eastAsia="Times New Roman"/>
                <w:b/>
                <w:bCs/>
                <w:color w:val="000000"/>
                <w:sz w:val="18"/>
                <w:szCs w:val="18"/>
              </w:rPr>
              <w:t> </w:t>
            </w:r>
          </w:p>
        </w:tc>
        <w:tc>
          <w:tcPr>
            <w:tcW w:w="1387" w:type="dxa"/>
            <w:tcBorders>
              <w:top w:val="single" w:sz="4" w:space="0" w:color="auto"/>
              <w:left w:val="nil"/>
              <w:bottom w:val="single" w:sz="4" w:space="0" w:color="auto"/>
              <w:right w:val="single" w:sz="4" w:space="0" w:color="auto"/>
            </w:tcBorders>
            <w:shd w:val="clear" w:color="000000" w:fill="CCC0DA"/>
            <w:noWrap/>
            <w:vAlign w:val="bottom"/>
            <w:hideMark/>
          </w:tcPr>
          <w:p w14:paraId="2D82B50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single" w:sz="4" w:space="0" w:color="auto"/>
              <w:left w:val="nil"/>
              <w:bottom w:val="single" w:sz="4" w:space="0" w:color="auto"/>
              <w:right w:val="single" w:sz="4" w:space="0" w:color="auto"/>
            </w:tcBorders>
            <w:shd w:val="clear" w:color="000000" w:fill="F79646"/>
            <w:noWrap/>
            <w:vAlign w:val="bottom"/>
            <w:hideMark/>
          </w:tcPr>
          <w:p w14:paraId="0A6826C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single" w:sz="4" w:space="0" w:color="auto"/>
              <w:left w:val="nil"/>
              <w:bottom w:val="single" w:sz="4" w:space="0" w:color="auto"/>
              <w:right w:val="single" w:sz="4" w:space="0" w:color="auto"/>
            </w:tcBorders>
            <w:shd w:val="clear" w:color="auto" w:fill="A8D08D" w:themeFill="accent6" w:themeFillTint="99"/>
            <w:noWrap/>
            <w:vAlign w:val="bottom"/>
            <w:hideMark/>
          </w:tcPr>
          <w:p w14:paraId="58A3D06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4FFDEA07"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7982A937"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536 Somerset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24A29300"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0BEE2FC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4BAAE74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7676E19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8/13/2012</w:t>
            </w:r>
          </w:p>
        </w:tc>
        <w:tc>
          <w:tcPr>
            <w:tcW w:w="1387" w:type="dxa"/>
            <w:tcBorders>
              <w:top w:val="nil"/>
              <w:left w:val="nil"/>
              <w:bottom w:val="single" w:sz="4" w:space="0" w:color="auto"/>
              <w:right w:val="single" w:sz="4" w:space="0" w:color="auto"/>
            </w:tcBorders>
            <w:shd w:val="clear" w:color="000000" w:fill="CCC0DA"/>
            <w:noWrap/>
            <w:vAlign w:val="bottom"/>
            <w:hideMark/>
          </w:tcPr>
          <w:p w14:paraId="49BA099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010DEF1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0E9A496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553F3E4E" w14:textId="77777777" w:rsidTr="00F74FEF">
        <w:trPr>
          <w:trHeight w:val="300"/>
        </w:trPr>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7E113"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537 Southgate Independent</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285D8"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70E5978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2F394C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auto" w:fill="FF7C80"/>
            <w:noWrap/>
            <w:vAlign w:val="bottom"/>
            <w:hideMark/>
          </w:tcPr>
          <w:p w14:paraId="45A04621" w14:textId="3FDC98F2" w:rsidR="00033751" w:rsidRPr="00FD4C8C" w:rsidRDefault="00FD4C8C" w:rsidP="00033751">
            <w:pPr>
              <w:spacing w:after="0" w:line="240" w:lineRule="auto"/>
              <w:jc w:val="center"/>
              <w:rPr>
                <w:rFonts w:eastAsia="Times New Roman"/>
                <w:b/>
                <w:bCs/>
                <w:color w:val="000000"/>
                <w:sz w:val="18"/>
                <w:szCs w:val="18"/>
              </w:rPr>
            </w:pPr>
            <w:r w:rsidRPr="00FD4C8C">
              <w:rPr>
                <w:rFonts w:eastAsia="Times New Roman"/>
                <w:b/>
                <w:bCs/>
                <w:color w:val="000000"/>
                <w:sz w:val="18"/>
                <w:szCs w:val="18"/>
              </w:rPr>
              <w:t>9/8/2022</w:t>
            </w:r>
            <w:r w:rsidR="00033751" w:rsidRPr="00FD4C8C">
              <w:rPr>
                <w:rFonts w:eastAsia="Times New Roman"/>
                <w:b/>
                <w:bCs/>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14:paraId="30AF28A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single" w:sz="4" w:space="0" w:color="auto"/>
              <w:left w:val="single" w:sz="4" w:space="0" w:color="auto"/>
              <w:bottom w:val="single" w:sz="4" w:space="0" w:color="auto"/>
              <w:right w:val="single" w:sz="4" w:space="0" w:color="auto"/>
            </w:tcBorders>
            <w:shd w:val="clear" w:color="000000" w:fill="F79646"/>
            <w:noWrap/>
            <w:vAlign w:val="bottom"/>
            <w:hideMark/>
          </w:tcPr>
          <w:p w14:paraId="4AB8094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14:paraId="1149BF5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257761CE" w14:textId="77777777" w:rsidTr="00F74FEF">
        <w:trPr>
          <w:trHeight w:val="300"/>
        </w:trPr>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62946"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541 Spencer County</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14:paraId="7CAA54B1"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single" w:sz="4" w:space="0" w:color="auto"/>
              <w:left w:val="nil"/>
              <w:bottom w:val="single" w:sz="4" w:space="0" w:color="auto"/>
              <w:right w:val="single" w:sz="4" w:space="0" w:color="auto"/>
            </w:tcBorders>
            <w:shd w:val="clear" w:color="auto" w:fill="FFD966" w:themeFill="accent4" w:themeFillTint="99"/>
            <w:vAlign w:val="bottom"/>
            <w:hideMark/>
          </w:tcPr>
          <w:p w14:paraId="2D800AA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2/12/1996</w:t>
            </w:r>
          </w:p>
        </w:tc>
        <w:tc>
          <w:tcPr>
            <w:tcW w:w="138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2425885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9/25/2003</w:t>
            </w:r>
          </w:p>
        </w:tc>
        <w:tc>
          <w:tcPr>
            <w:tcW w:w="1387" w:type="dxa"/>
            <w:tcBorders>
              <w:top w:val="single" w:sz="4" w:space="0" w:color="auto"/>
              <w:left w:val="nil"/>
              <w:bottom w:val="single" w:sz="4" w:space="0" w:color="auto"/>
              <w:right w:val="single" w:sz="4" w:space="0" w:color="auto"/>
            </w:tcBorders>
            <w:shd w:val="clear" w:color="auto" w:fill="FF7C80"/>
            <w:noWrap/>
            <w:vAlign w:val="bottom"/>
            <w:hideMark/>
          </w:tcPr>
          <w:p w14:paraId="4EECBCC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nil"/>
              <w:bottom w:val="single" w:sz="4" w:space="0" w:color="auto"/>
              <w:right w:val="single" w:sz="4" w:space="0" w:color="auto"/>
            </w:tcBorders>
            <w:shd w:val="clear" w:color="000000" w:fill="CCC0DA"/>
            <w:noWrap/>
            <w:vAlign w:val="bottom"/>
            <w:hideMark/>
          </w:tcPr>
          <w:p w14:paraId="6B14426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single" w:sz="4" w:space="0" w:color="auto"/>
              <w:left w:val="nil"/>
              <w:bottom w:val="single" w:sz="4" w:space="0" w:color="auto"/>
              <w:right w:val="single" w:sz="4" w:space="0" w:color="auto"/>
            </w:tcBorders>
            <w:shd w:val="clear" w:color="000000" w:fill="F79646"/>
            <w:noWrap/>
            <w:vAlign w:val="bottom"/>
            <w:hideMark/>
          </w:tcPr>
          <w:p w14:paraId="0344C7F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single" w:sz="4" w:space="0" w:color="auto"/>
              <w:left w:val="nil"/>
              <w:bottom w:val="single" w:sz="4" w:space="0" w:color="auto"/>
              <w:right w:val="single" w:sz="4" w:space="0" w:color="auto"/>
            </w:tcBorders>
            <w:shd w:val="clear" w:color="auto" w:fill="A8D08D" w:themeFill="accent6" w:themeFillTint="99"/>
            <w:noWrap/>
            <w:vAlign w:val="bottom"/>
            <w:hideMark/>
          </w:tcPr>
          <w:p w14:paraId="00B7C7C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3FAC5650" w14:textId="77777777" w:rsidTr="00F74FEF">
        <w:trPr>
          <w:trHeight w:val="300"/>
        </w:trPr>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FDDC4"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545 Taylor County</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B8F44"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1C540AE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F32382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auto" w:fill="FF7C80"/>
            <w:noWrap/>
            <w:vAlign w:val="bottom"/>
            <w:hideMark/>
          </w:tcPr>
          <w:p w14:paraId="24A0DE8D" w14:textId="77777777" w:rsidR="00033751" w:rsidRPr="00033751" w:rsidRDefault="00D82113" w:rsidP="00033751">
            <w:pPr>
              <w:spacing w:after="0" w:line="240" w:lineRule="auto"/>
              <w:jc w:val="center"/>
              <w:rPr>
                <w:rFonts w:eastAsia="Times New Roman"/>
                <w:color w:val="000000"/>
                <w:sz w:val="18"/>
                <w:szCs w:val="18"/>
              </w:rPr>
            </w:pPr>
            <w:r>
              <w:rPr>
                <w:rFonts w:eastAsia="Times New Roman"/>
                <w:color w:val="000000"/>
                <w:sz w:val="18"/>
                <w:szCs w:val="18"/>
              </w:rPr>
              <w:t>8/20/2013</w:t>
            </w:r>
            <w:r w:rsidR="00033751" w:rsidRPr="00033751">
              <w:rPr>
                <w:rFonts w:eastAsia="Times New Roman"/>
                <w:color w:val="000000"/>
                <w:sz w:val="18"/>
                <w:szCs w:val="18"/>
              </w:rPr>
              <w:t> </w:t>
            </w:r>
          </w:p>
        </w:tc>
        <w:tc>
          <w:tcPr>
            <w:tcW w:w="1387"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14:paraId="4A868B6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single" w:sz="4" w:space="0" w:color="auto"/>
              <w:left w:val="single" w:sz="4" w:space="0" w:color="auto"/>
              <w:bottom w:val="single" w:sz="4" w:space="0" w:color="auto"/>
              <w:right w:val="single" w:sz="4" w:space="0" w:color="auto"/>
            </w:tcBorders>
            <w:shd w:val="clear" w:color="000000" w:fill="F79646"/>
            <w:noWrap/>
            <w:vAlign w:val="bottom"/>
            <w:hideMark/>
          </w:tcPr>
          <w:p w14:paraId="269EF9D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14:paraId="3BE4480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1FA052EC" w14:textId="77777777" w:rsidTr="00F74FEF">
        <w:trPr>
          <w:trHeight w:val="300"/>
        </w:trPr>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81B1F"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551 Todd County</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14:paraId="07B548DC"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single" w:sz="4" w:space="0" w:color="auto"/>
              <w:left w:val="nil"/>
              <w:bottom w:val="single" w:sz="4" w:space="0" w:color="auto"/>
              <w:right w:val="single" w:sz="4" w:space="0" w:color="auto"/>
            </w:tcBorders>
            <w:shd w:val="clear" w:color="auto" w:fill="FFD966" w:themeFill="accent4" w:themeFillTint="99"/>
            <w:vAlign w:val="bottom"/>
            <w:hideMark/>
          </w:tcPr>
          <w:p w14:paraId="50B8D62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5DFD1CF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nil"/>
              <w:bottom w:val="single" w:sz="4" w:space="0" w:color="auto"/>
              <w:right w:val="single" w:sz="4" w:space="0" w:color="auto"/>
            </w:tcBorders>
            <w:shd w:val="clear" w:color="auto" w:fill="FF7C80"/>
            <w:noWrap/>
            <w:vAlign w:val="bottom"/>
            <w:hideMark/>
          </w:tcPr>
          <w:p w14:paraId="524C23E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nil"/>
              <w:bottom w:val="single" w:sz="4" w:space="0" w:color="auto"/>
              <w:right w:val="single" w:sz="4" w:space="0" w:color="auto"/>
            </w:tcBorders>
            <w:shd w:val="clear" w:color="000000" w:fill="CCC0DA"/>
            <w:noWrap/>
            <w:vAlign w:val="bottom"/>
            <w:hideMark/>
          </w:tcPr>
          <w:p w14:paraId="4E0AA418" w14:textId="77777777" w:rsidR="00033751" w:rsidRPr="004642E5" w:rsidRDefault="00033751" w:rsidP="00033751">
            <w:pPr>
              <w:spacing w:after="0" w:line="240" w:lineRule="auto"/>
              <w:jc w:val="center"/>
              <w:rPr>
                <w:rFonts w:eastAsia="Times New Roman"/>
                <w:color w:val="000000"/>
                <w:sz w:val="18"/>
                <w:szCs w:val="18"/>
              </w:rPr>
            </w:pPr>
            <w:r w:rsidRPr="004642E5">
              <w:rPr>
                <w:rFonts w:eastAsia="Times New Roman"/>
                <w:color w:val="000000"/>
                <w:sz w:val="18"/>
                <w:szCs w:val="18"/>
              </w:rPr>
              <w:t>9/10/2007</w:t>
            </w:r>
          </w:p>
        </w:tc>
        <w:tc>
          <w:tcPr>
            <w:tcW w:w="1214" w:type="dxa"/>
            <w:tcBorders>
              <w:top w:val="single" w:sz="4" w:space="0" w:color="auto"/>
              <w:left w:val="nil"/>
              <w:bottom w:val="single" w:sz="4" w:space="0" w:color="auto"/>
              <w:right w:val="single" w:sz="4" w:space="0" w:color="auto"/>
            </w:tcBorders>
            <w:shd w:val="clear" w:color="000000" w:fill="F79646"/>
            <w:noWrap/>
            <w:vAlign w:val="bottom"/>
            <w:hideMark/>
          </w:tcPr>
          <w:p w14:paraId="09460FA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single" w:sz="4" w:space="0" w:color="auto"/>
              <w:left w:val="nil"/>
              <w:bottom w:val="single" w:sz="4" w:space="0" w:color="auto"/>
              <w:right w:val="single" w:sz="4" w:space="0" w:color="auto"/>
            </w:tcBorders>
            <w:shd w:val="clear" w:color="auto" w:fill="A8D08D" w:themeFill="accent6" w:themeFillTint="99"/>
            <w:noWrap/>
            <w:vAlign w:val="bottom"/>
            <w:hideMark/>
          </w:tcPr>
          <w:p w14:paraId="5FD23DF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482B44FE"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6499FCED"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555 Trigg County</w:t>
            </w:r>
          </w:p>
        </w:tc>
        <w:tc>
          <w:tcPr>
            <w:tcW w:w="867" w:type="dxa"/>
            <w:tcBorders>
              <w:top w:val="nil"/>
              <w:left w:val="nil"/>
              <w:bottom w:val="single" w:sz="4" w:space="0" w:color="auto"/>
              <w:right w:val="single" w:sz="4" w:space="0" w:color="auto"/>
            </w:tcBorders>
            <w:shd w:val="clear" w:color="auto" w:fill="auto"/>
            <w:noWrap/>
            <w:vAlign w:val="bottom"/>
            <w:hideMark/>
          </w:tcPr>
          <w:p w14:paraId="0288FE19"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5C88AB1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0217AEE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619DAAD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78AFA23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04EE297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3FB970D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694E4D4B"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3F02B065"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561 Trimble County</w:t>
            </w:r>
          </w:p>
        </w:tc>
        <w:tc>
          <w:tcPr>
            <w:tcW w:w="867" w:type="dxa"/>
            <w:tcBorders>
              <w:top w:val="nil"/>
              <w:left w:val="nil"/>
              <w:bottom w:val="single" w:sz="4" w:space="0" w:color="auto"/>
              <w:right w:val="single" w:sz="4" w:space="0" w:color="auto"/>
            </w:tcBorders>
            <w:shd w:val="clear" w:color="auto" w:fill="auto"/>
            <w:noWrap/>
            <w:vAlign w:val="bottom"/>
            <w:hideMark/>
          </w:tcPr>
          <w:p w14:paraId="6535F0A6"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615E07F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6F646BA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7A82556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7513671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04670EB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00AC33D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23D452B1"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7BF8364C"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565 Union County</w:t>
            </w:r>
          </w:p>
        </w:tc>
        <w:tc>
          <w:tcPr>
            <w:tcW w:w="867" w:type="dxa"/>
            <w:tcBorders>
              <w:top w:val="nil"/>
              <w:left w:val="nil"/>
              <w:bottom w:val="single" w:sz="4" w:space="0" w:color="auto"/>
              <w:right w:val="single" w:sz="4" w:space="0" w:color="auto"/>
            </w:tcBorders>
            <w:shd w:val="clear" w:color="auto" w:fill="auto"/>
            <w:noWrap/>
            <w:vAlign w:val="bottom"/>
            <w:hideMark/>
          </w:tcPr>
          <w:p w14:paraId="7C47F72B"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6FE22CA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52D8ACA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5D6491B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76369D1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2834D75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0E350A2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511D6DB9"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23750AD2"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567 Walton Verona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5C2CEECF"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42D250D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8/25/2005</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1974398D"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1AD089D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4D45297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8/16/2007</w:t>
            </w:r>
          </w:p>
        </w:tc>
        <w:tc>
          <w:tcPr>
            <w:tcW w:w="1214" w:type="dxa"/>
            <w:tcBorders>
              <w:top w:val="nil"/>
              <w:left w:val="nil"/>
              <w:bottom w:val="single" w:sz="4" w:space="0" w:color="auto"/>
              <w:right w:val="single" w:sz="4" w:space="0" w:color="auto"/>
            </w:tcBorders>
            <w:shd w:val="clear" w:color="000000" w:fill="F79646"/>
            <w:noWrap/>
            <w:vAlign w:val="bottom"/>
            <w:hideMark/>
          </w:tcPr>
          <w:p w14:paraId="7153A53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30F5648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4A8B219B"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71072945"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571 Warren County</w:t>
            </w:r>
          </w:p>
        </w:tc>
        <w:tc>
          <w:tcPr>
            <w:tcW w:w="867" w:type="dxa"/>
            <w:tcBorders>
              <w:top w:val="nil"/>
              <w:left w:val="nil"/>
              <w:bottom w:val="single" w:sz="4" w:space="0" w:color="auto"/>
              <w:right w:val="single" w:sz="4" w:space="0" w:color="auto"/>
            </w:tcBorders>
            <w:shd w:val="clear" w:color="auto" w:fill="auto"/>
            <w:noWrap/>
            <w:vAlign w:val="bottom"/>
            <w:hideMark/>
          </w:tcPr>
          <w:p w14:paraId="3AC73ED1"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08C1B06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1/9/1995</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0999C03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9/11/2003</w:t>
            </w:r>
          </w:p>
        </w:tc>
        <w:tc>
          <w:tcPr>
            <w:tcW w:w="1387" w:type="dxa"/>
            <w:tcBorders>
              <w:top w:val="nil"/>
              <w:left w:val="nil"/>
              <w:bottom w:val="single" w:sz="4" w:space="0" w:color="auto"/>
              <w:right w:val="single" w:sz="4" w:space="0" w:color="auto"/>
            </w:tcBorders>
            <w:shd w:val="clear" w:color="auto" w:fill="FF7C80"/>
            <w:noWrap/>
            <w:vAlign w:val="bottom"/>
            <w:hideMark/>
          </w:tcPr>
          <w:p w14:paraId="6A6F61B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4E0530C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382D271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3740C32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37552A96"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569515DE"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575 Washington County</w:t>
            </w:r>
          </w:p>
        </w:tc>
        <w:tc>
          <w:tcPr>
            <w:tcW w:w="867" w:type="dxa"/>
            <w:tcBorders>
              <w:top w:val="nil"/>
              <w:left w:val="nil"/>
              <w:bottom w:val="single" w:sz="4" w:space="0" w:color="auto"/>
              <w:right w:val="single" w:sz="4" w:space="0" w:color="auto"/>
            </w:tcBorders>
            <w:shd w:val="clear" w:color="auto" w:fill="auto"/>
            <w:noWrap/>
            <w:vAlign w:val="bottom"/>
            <w:hideMark/>
          </w:tcPr>
          <w:p w14:paraId="3074C855"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0B3620D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3695FE1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334298F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8/9/2007</w:t>
            </w:r>
          </w:p>
        </w:tc>
        <w:tc>
          <w:tcPr>
            <w:tcW w:w="1387" w:type="dxa"/>
            <w:tcBorders>
              <w:top w:val="nil"/>
              <w:left w:val="nil"/>
              <w:bottom w:val="single" w:sz="4" w:space="0" w:color="auto"/>
              <w:right w:val="single" w:sz="4" w:space="0" w:color="auto"/>
            </w:tcBorders>
            <w:shd w:val="clear" w:color="000000" w:fill="CCC0DA"/>
            <w:noWrap/>
            <w:vAlign w:val="bottom"/>
            <w:hideMark/>
          </w:tcPr>
          <w:p w14:paraId="1CF3344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3929DEB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1650DDA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1DC33C70"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594F962E"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581 Wayne County</w:t>
            </w:r>
          </w:p>
        </w:tc>
        <w:tc>
          <w:tcPr>
            <w:tcW w:w="867" w:type="dxa"/>
            <w:tcBorders>
              <w:top w:val="nil"/>
              <w:left w:val="nil"/>
              <w:bottom w:val="single" w:sz="4" w:space="0" w:color="auto"/>
              <w:right w:val="single" w:sz="4" w:space="0" w:color="auto"/>
            </w:tcBorders>
            <w:shd w:val="clear" w:color="auto" w:fill="auto"/>
            <w:noWrap/>
            <w:vAlign w:val="bottom"/>
            <w:hideMark/>
          </w:tcPr>
          <w:p w14:paraId="5D414CCF"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2D2C82D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1FA3F2D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6FA88E5A" w14:textId="77777777" w:rsidR="00033751" w:rsidRPr="00FD21AD" w:rsidRDefault="008D24B2" w:rsidP="00033751">
            <w:pPr>
              <w:spacing w:after="0" w:line="240" w:lineRule="auto"/>
              <w:jc w:val="center"/>
              <w:rPr>
                <w:rFonts w:eastAsia="Times New Roman"/>
                <w:color w:val="000000"/>
                <w:sz w:val="18"/>
                <w:szCs w:val="18"/>
              </w:rPr>
            </w:pPr>
            <w:r w:rsidRPr="00FD21AD">
              <w:rPr>
                <w:rFonts w:eastAsia="Times New Roman"/>
                <w:color w:val="000000"/>
                <w:sz w:val="18"/>
                <w:szCs w:val="18"/>
              </w:rPr>
              <w:t>6/15/2017</w:t>
            </w:r>
            <w:r w:rsidR="00033751" w:rsidRPr="00FD21AD">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306A07E2"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6EBD463C"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6E3C638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2059CBE5"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65F25B0B"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585 Webster County</w:t>
            </w:r>
          </w:p>
        </w:tc>
        <w:tc>
          <w:tcPr>
            <w:tcW w:w="867" w:type="dxa"/>
            <w:tcBorders>
              <w:top w:val="nil"/>
              <w:left w:val="nil"/>
              <w:bottom w:val="single" w:sz="4" w:space="0" w:color="auto"/>
              <w:right w:val="single" w:sz="4" w:space="0" w:color="auto"/>
            </w:tcBorders>
            <w:shd w:val="clear" w:color="auto" w:fill="auto"/>
            <w:noWrap/>
            <w:vAlign w:val="bottom"/>
            <w:hideMark/>
          </w:tcPr>
          <w:p w14:paraId="1D9BA458"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76FC744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4E06678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66BE1FF9" w14:textId="77777777" w:rsidR="00033751" w:rsidRPr="00FD21AD" w:rsidRDefault="00033751" w:rsidP="00033751">
            <w:pPr>
              <w:spacing w:after="0" w:line="240" w:lineRule="auto"/>
              <w:jc w:val="center"/>
              <w:rPr>
                <w:rFonts w:eastAsia="Times New Roman"/>
                <w:color w:val="000000"/>
                <w:sz w:val="18"/>
                <w:szCs w:val="18"/>
              </w:rPr>
            </w:pPr>
            <w:r w:rsidRPr="00FD21AD">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26DD785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195D5B4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2D83477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5E23D69D"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2FEFC8FD"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586 West Point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1CFE5F9D"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65A6CB5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4AD4E45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6448958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4F9C3CA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37D05EE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4FD5F4F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76A8D8B4"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1FED1CEE"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591 Whitley County</w:t>
            </w:r>
          </w:p>
        </w:tc>
        <w:tc>
          <w:tcPr>
            <w:tcW w:w="867" w:type="dxa"/>
            <w:tcBorders>
              <w:top w:val="nil"/>
              <w:left w:val="nil"/>
              <w:bottom w:val="single" w:sz="4" w:space="0" w:color="auto"/>
              <w:right w:val="single" w:sz="4" w:space="0" w:color="auto"/>
            </w:tcBorders>
            <w:shd w:val="clear" w:color="auto" w:fill="auto"/>
            <w:noWrap/>
            <w:vAlign w:val="bottom"/>
            <w:hideMark/>
          </w:tcPr>
          <w:p w14:paraId="667B8C68"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2CC6699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52CDB0B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3800C3FB"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106B3ED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7D55881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555345C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6B2090F7"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468E636E"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592 Williamsburg Independent</w:t>
            </w:r>
          </w:p>
        </w:tc>
        <w:tc>
          <w:tcPr>
            <w:tcW w:w="867" w:type="dxa"/>
            <w:tcBorders>
              <w:top w:val="nil"/>
              <w:left w:val="nil"/>
              <w:bottom w:val="single" w:sz="4" w:space="0" w:color="auto"/>
              <w:right w:val="single" w:sz="4" w:space="0" w:color="auto"/>
            </w:tcBorders>
            <w:shd w:val="clear" w:color="auto" w:fill="auto"/>
            <w:noWrap/>
            <w:vAlign w:val="bottom"/>
            <w:hideMark/>
          </w:tcPr>
          <w:p w14:paraId="5F895E7B"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33FA87A0"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2D31D107"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6B2CD374"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r w:rsidR="00D82113">
              <w:rPr>
                <w:rFonts w:eastAsia="Times New Roman"/>
                <w:color w:val="000000"/>
                <w:sz w:val="18"/>
                <w:szCs w:val="18"/>
              </w:rPr>
              <w:t>12/18/2015</w:t>
            </w:r>
          </w:p>
        </w:tc>
        <w:tc>
          <w:tcPr>
            <w:tcW w:w="1387" w:type="dxa"/>
            <w:tcBorders>
              <w:top w:val="nil"/>
              <w:left w:val="nil"/>
              <w:bottom w:val="single" w:sz="4" w:space="0" w:color="auto"/>
              <w:right w:val="single" w:sz="4" w:space="0" w:color="auto"/>
            </w:tcBorders>
            <w:shd w:val="clear" w:color="000000" w:fill="CCC0DA"/>
            <w:noWrap/>
            <w:vAlign w:val="bottom"/>
            <w:hideMark/>
          </w:tcPr>
          <w:p w14:paraId="31B90825"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227A48C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48471C9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2BC6B036" w14:textId="77777777" w:rsidTr="00F74FEF">
        <w:trPr>
          <w:trHeight w:val="300"/>
        </w:trPr>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631D7"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593 Williamstown Independent</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14:paraId="7A92E456"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single" w:sz="4" w:space="0" w:color="auto"/>
              <w:left w:val="nil"/>
              <w:bottom w:val="single" w:sz="4" w:space="0" w:color="auto"/>
              <w:right w:val="single" w:sz="4" w:space="0" w:color="auto"/>
            </w:tcBorders>
            <w:shd w:val="clear" w:color="auto" w:fill="FFD966" w:themeFill="accent4" w:themeFillTint="99"/>
            <w:vAlign w:val="bottom"/>
            <w:hideMark/>
          </w:tcPr>
          <w:p w14:paraId="704EB24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8/25/2005</w:t>
            </w:r>
          </w:p>
        </w:tc>
        <w:tc>
          <w:tcPr>
            <w:tcW w:w="138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161A0B2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single" w:sz="4" w:space="0" w:color="auto"/>
              <w:left w:val="nil"/>
              <w:bottom w:val="single" w:sz="4" w:space="0" w:color="auto"/>
              <w:right w:val="single" w:sz="4" w:space="0" w:color="auto"/>
            </w:tcBorders>
            <w:shd w:val="clear" w:color="auto" w:fill="FF7C80"/>
            <w:noWrap/>
            <w:vAlign w:val="bottom"/>
            <w:hideMark/>
          </w:tcPr>
          <w:p w14:paraId="002AF4BF"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8/31/2006</w:t>
            </w:r>
          </w:p>
        </w:tc>
        <w:tc>
          <w:tcPr>
            <w:tcW w:w="1387" w:type="dxa"/>
            <w:tcBorders>
              <w:top w:val="single" w:sz="4" w:space="0" w:color="auto"/>
              <w:left w:val="nil"/>
              <w:bottom w:val="single" w:sz="4" w:space="0" w:color="auto"/>
              <w:right w:val="single" w:sz="4" w:space="0" w:color="auto"/>
            </w:tcBorders>
            <w:shd w:val="clear" w:color="000000" w:fill="CCC0DA"/>
            <w:noWrap/>
            <w:vAlign w:val="bottom"/>
            <w:hideMark/>
          </w:tcPr>
          <w:p w14:paraId="0AFBF67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single" w:sz="4" w:space="0" w:color="auto"/>
              <w:left w:val="nil"/>
              <w:bottom w:val="single" w:sz="4" w:space="0" w:color="auto"/>
              <w:right w:val="single" w:sz="4" w:space="0" w:color="auto"/>
            </w:tcBorders>
            <w:shd w:val="clear" w:color="000000" w:fill="F79646"/>
            <w:noWrap/>
            <w:vAlign w:val="bottom"/>
            <w:hideMark/>
          </w:tcPr>
          <w:p w14:paraId="7F2BEE9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single" w:sz="4" w:space="0" w:color="auto"/>
              <w:left w:val="nil"/>
              <w:bottom w:val="single" w:sz="4" w:space="0" w:color="auto"/>
              <w:right w:val="single" w:sz="4" w:space="0" w:color="auto"/>
            </w:tcBorders>
            <w:shd w:val="clear" w:color="auto" w:fill="A8D08D" w:themeFill="accent6" w:themeFillTint="99"/>
            <w:noWrap/>
            <w:vAlign w:val="bottom"/>
            <w:hideMark/>
          </w:tcPr>
          <w:p w14:paraId="536D865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021EFA0A"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0062D8D8"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595 Wolfe County</w:t>
            </w:r>
          </w:p>
        </w:tc>
        <w:tc>
          <w:tcPr>
            <w:tcW w:w="867" w:type="dxa"/>
            <w:tcBorders>
              <w:top w:val="nil"/>
              <w:left w:val="nil"/>
              <w:bottom w:val="single" w:sz="4" w:space="0" w:color="auto"/>
              <w:right w:val="single" w:sz="4" w:space="0" w:color="auto"/>
            </w:tcBorders>
            <w:shd w:val="clear" w:color="auto" w:fill="auto"/>
            <w:noWrap/>
            <w:vAlign w:val="bottom"/>
            <w:hideMark/>
          </w:tcPr>
          <w:p w14:paraId="6B25860C"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19946151"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6C6611F3"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22CB99F4" w14:textId="186EB7A9" w:rsidR="00033751" w:rsidRPr="00B0288D" w:rsidRDefault="00B0288D" w:rsidP="00033751">
            <w:pPr>
              <w:spacing w:after="0" w:line="240" w:lineRule="auto"/>
              <w:jc w:val="center"/>
              <w:rPr>
                <w:rFonts w:eastAsia="Times New Roman"/>
                <w:b/>
                <w:bCs/>
                <w:color w:val="000000"/>
                <w:sz w:val="18"/>
                <w:szCs w:val="18"/>
              </w:rPr>
            </w:pPr>
            <w:r w:rsidRPr="00B0288D">
              <w:rPr>
                <w:rFonts w:eastAsia="Times New Roman"/>
                <w:b/>
                <w:bCs/>
                <w:color w:val="000000"/>
                <w:sz w:val="18"/>
                <w:szCs w:val="18"/>
              </w:rPr>
              <w:t>1/8/2024</w:t>
            </w:r>
            <w:r w:rsidR="00033751" w:rsidRPr="00B0288D">
              <w:rPr>
                <w:rFonts w:eastAsia="Times New Roman"/>
                <w:b/>
                <w:bCs/>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77DDF71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195CF1D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1DB69FD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r w:rsidR="004933DE" w:rsidRPr="00033751" w14:paraId="2E798DBE" w14:textId="77777777" w:rsidTr="00F74FEF">
        <w:trPr>
          <w:trHeight w:val="300"/>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796AF991"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601 Woodford County</w:t>
            </w:r>
          </w:p>
        </w:tc>
        <w:tc>
          <w:tcPr>
            <w:tcW w:w="867" w:type="dxa"/>
            <w:tcBorders>
              <w:top w:val="nil"/>
              <w:left w:val="nil"/>
              <w:bottom w:val="single" w:sz="4" w:space="0" w:color="auto"/>
              <w:right w:val="single" w:sz="4" w:space="0" w:color="auto"/>
            </w:tcBorders>
            <w:shd w:val="clear" w:color="auto" w:fill="auto"/>
            <w:noWrap/>
            <w:vAlign w:val="bottom"/>
            <w:hideMark/>
          </w:tcPr>
          <w:p w14:paraId="17F528C4" w14:textId="77777777" w:rsidR="00033751" w:rsidRPr="00033751" w:rsidRDefault="00033751" w:rsidP="00033751">
            <w:pPr>
              <w:spacing w:after="0" w:line="240" w:lineRule="auto"/>
              <w:rPr>
                <w:rFonts w:eastAsia="Times New Roman"/>
                <w:color w:val="000000"/>
                <w:sz w:val="18"/>
                <w:szCs w:val="18"/>
              </w:rPr>
            </w:pPr>
            <w:r w:rsidRPr="00033751">
              <w:rPr>
                <w:rFonts w:eastAsia="Times New Roman"/>
                <w:color w:val="000000"/>
                <w:sz w:val="18"/>
                <w:szCs w:val="18"/>
              </w:rPr>
              <w:t>*</w:t>
            </w:r>
          </w:p>
        </w:tc>
        <w:tc>
          <w:tcPr>
            <w:tcW w:w="1306" w:type="dxa"/>
            <w:tcBorders>
              <w:top w:val="nil"/>
              <w:left w:val="nil"/>
              <w:bottom w:val="single" w:sz="4" w:space="0" w:color="auto"/>
              <w:right w:val="single" w:sz="4" w:space="0" w:color="auto"/>
            </w:tcBorders>
            <w:shd w:val="clear" w:color="auto" w:fill="FFD966" w:themeFill="accent4" w:themeFillTint="99"/>
            <w:vAlign w:val="bottom"/>
            <w:hideMark/>
          </w:tcPr>
          <w:p w14:paraId="33299FC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6/19/1995</w:t>
            </w:r>
          </w:p>
        </w:tc>
        <w:tc>
          <w:tcPr>
            <w:tcW w:w="1387" w:type="dxa"/>
            <w:tcBorders>
              <w:top w:val="nil"/>
              <w:left w:val="nil"/>
              <w:bottom w:val="single" w:sz="4" w:space="0" w:color="auto"/>
              <w:right w:val="single" w:sz="4" w:space="0" w:color="auto"/>
            </w:tcBorders>
            <w:shd w:val="clear" w:color="auto" w:fill="8EAADB" w:themeFill="accent5" w:themeFillTint="99"/>
            <w:noWrap/>
            <w:vAlign w:val="bottom"/>
            <w:hideMark/>
          </w:tcPr>
          <w:p w14:paraId="5EE34E16"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auto" w:fill="FF7C80"/>
            <w:noWrap/>
            <w:vAlign w:val="bottom"/>
            <w:hideMark/>
          </w:tcPr>
          <w:p w14:paraId="5137960E"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387" w:type="dxa"/>
            <w:tcBorders>
              <w:top w:val="nil"/>
              <w:left w:val="nil"/>
              <w:bottom w:val="single" w:sz="4" w:space="0" w:color="auto"/>
              <w:right w:val="single" w:sz="4" w:space="0" w:color="auto"/>
            </w:tcBorders>
            <w:shd w:val="clear" w:color="000000" w:fill="CCC0DA"/>
            <w:noWrap/>
            <w:vAlign w:val="bottom"/>
            <w:hideMark/>
          </w:tcPr>
          <w:p w14:paraId="5C847EC9"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214" w:type="dxa"/>
            <w:tcBorders>
              <w:top w:val="nil"/>
              <w:left w:val="nil"/>
              <w:bottom w:val="single" w:sz="4" w:space="0" w:color="auto"/>
              <w:right w:val="single" w:sz="4" w:space="0" w:color="auto"/>
            </w:tcBorders>
            <w:shd w:val="clear" w:color="000000" w:fill="F79646"/>
            <w:noWrap/>
            <w:vAlign w:val="bottom"/>
            <w:hideMark/>
          </w:tcPr>
          <w:p w14:paraId="6200CDD8"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c>
          <w:tcPr>
            <w:tcW w:w="1197" w:type="dxa"/>
            <w:tcBorders>
              <w:top w:val="nil"/>
              <w:left w:val="nil"/>
              <w:bottom w:val="single" w:sz="4" w:space="0" w:color="auto"/>
              <w:right w:val="single" w:sz="4" w:space="0" w:color="auto"/>
            </w:tcBorders>
            <w:shd w:val="clear" w:color="auto" w:fill="A8D08D" w:themeFill="accent6" w:themeFillTint="99"/>
            <w:noWrap/>
            <w:vAlign w:val="bottom"/>
            <w:hideMark/>
          </w:tcPr>
          <w:p w14:paraId="53E5B5BA" w14:textId="77777777" w:rsidR="00033751" w:rsidRPr="00033751" w:rsidRDefault="00033751" w:rsidP="00033751">
            <w:pPr>
              <w:spacing w:after="0" w:line="240" w:lineRule="auto"/>
              <w:jc w:val="center"/>
              <w:rPr>
                <w:rFonts w:eastAsia="Times New Roman"/>
                <w:color w:val="000000"/>
                <w:sz w:val="18"/>
                <w:szCs w:val="18"/>
              </w:rPr>
            </w:pPr>
            <w:r w:rsidRPr="00033751">
              <w:rPr>
                <w:rFonts w:eastAsia="Times New Roman"/>
                <w:color w:val="000000"/>
                <w:sz w:val="18"/>
                <w:szCs w:val="18"/>
              </w:rPr>
              <w:t> </w:t>
            </w:r>
          </w:p>
        </w:tc>
      </w:tr>
    </w:tbl>
    <w:p w14:paraId="083F7E74" w14:textId="77777777" w:rsidR="00C87FE7" w:rsidRPr="0085096B" w:rsidRDefault="00C87FE7" w:rsidP="00265747">
      <w:pPr>
        <w:rPr>
          <w:b/>
          <w:color w:val="FFFFFF" w:themeColor="background1"/>
          <w:sz w:val="28"/>
          <w:szCs w:val="28"/>
        </w:rPr>
      </w:pPr>
    </w:p>
    <w:tbl>
      <w:tblPr>
        <w:tblpPr w:leftFromText="180" w:rightFromText="180" w:vertAnchor="text" w:tblpY="1"/>
        <w:tblOverlap w:val="never"/>
        <w:tblW w:w="5973" w:type="dxa"/>
        <w:tblLook w:val="04A0" w:firstRow="1" w:lastRow="0" w:firstColumn="1" w:lastColumn="0" w:noHBand="0" w:noVBand="1"/>
      </w:tblPr>
      <w:tblGrid>
        <w:gridCol w:w="1725"/>
        <w:gridCol w:w="3175"/>
        <w:gridCol w:w="1073"/>
      </w:tblGrid>
      <w:tr w:rsidR="008B417C" w:rsidRPr="008B417C" w14:paraId="389BF45A" w14:textId="77777777" w:rsidTr="009D636A">
        <w:trPr>
          <w:trHeight w:val="300"/>
        </w:trPr>
        <w:tc>
          <w:tcPr>
            <w:tcW w:w="1725" w:type="dxa"/>
            <w:tcBorders>
              <w:top w:val="nil"/>
              <w:left w:val="nil"/>
              <w:bottom w:val="nil"/>
              <w:right w:val="nil"/>
            </w:tcBorders>
            <w:shd w:val="clear" w:color="auto" w:fill="auto"/>
            <w:noWrap/>
            <w:vAlign w:val="bottom"/>
            <w:hideMark/>
          </w:tcPr>
          <w:p w14:paraId="06E2E61C" w14:textId="77777777" w:rsidR="008B417C" w:rsidRDefault="008B417C" w:rsidP="009D636A">
            <w:pPr>
              <w:spacing w:after="0" w:line="240" w:lineRule="auto"/>
              <w:rPr>
                <w:rFonts w:eastAsia="Times New Roman"/>
                <w:color w:val="000000"/>
              </w:rPr>
            </w:pPr>
          </w:p>
          <w:p w14:paraId="49A27BF7" w14:textId="77777777" w:rsidR="00394B87" w:rsidRPr="008B417C" w:rsidRDefault="00394B87" w:rsidP="009D636A">
            <w:pPr>
              <w:spacing w:after="0" w:line="240" w:lineRule="auto"/>
              <w:jc w:val="center"/>
              <w:rPr>
                <w:rFonts w:eastAsia="Times New Roman"/>
                <w:color w:val="000000"/>
              </w:rPr>
            </w:pPr>
          </w:p>
        </w:tc>
        <w:tc>
          <w:tcPr>
            <w:tcW w:w="3175" w:type="dxa"/>
            <w:tcBorders>
              <w:top w:val="nil"/>
              <w:left w:val="nil"/>
              <w:bottom w:val="nil"/>
              <w:right w:val="nil"/>
            </w:tcBorders>
            <w:shd w:val="clear" w:color="auto" w:fill="auto"/>
            <w:noWrap/>
            <w:vAlign w:val="bottom"/>
            <w:hideMark/>
          </w:tcPr>
          <w:p w14:paraId="797A8A9E" w14:textId="77777777" w:rsidR="008B417C" w:rsidRPr="008B417C" w:rsidRDefault="008B417C" w:rsidP="009D636A">
            <w:pPr>
              <w:spacing w:after="0" w:line="240" w:lineRule="auto"/>
              <w:jc w:val="center"/>
              <w:rPr>
                <w:rFonts w:eastAsia="Times New Roman"/>
                <w:color w:val="000000"/>
              </w:rPr>
            </w:pPr>
          </w:p>
        </w:tc>
        <w:tc>
          <w:tcPr>
            <w:tcW w:w="1073" w:type="dxa"/>
            <w:tcBorders>
              <w:top w:val="nil"/>
              <w:left w:val="nil"/>
              <w:bottom w:val="nil"/>
              <w:right w:val="nil"/>
            </w:tcBorders>
            <w:shd w:val="clear" w:color="auto" w:fill="auto"/>
            <w:noWrap/>
            <w:vAlign w:val="bottom"/>
          </w:tcPr>
          <w:p w14:paraId="6D24D212" w14:textId="77777777" w:rsidR="008B417C" w:rsidRPr="008B417C" w:rsidRDefault="008B417C" w:rsidP="009D636A">
            <w:pPr>
              <w:spacing w:after="0" w:line="240" w:lineRule="auto"/>
              <w:rPr>
                <w:rFonts w:eastAsia="Times New Roman"/>
                <w:color w:val="000000"/>
              </w:rPr>
            </w:pPr>
          </w:p>
        </w:tc>
      </w:tr>
      <w:tr w:rsidR="008B417C" w:rsidRPr="008B417C" w14:paraId="7E0C2EC3" w14:textId="77777777" w:rsidTr="009D636A">
        <w:trPr>
          <w:trHeight w:val="300"/>
        </w:trPr>
        <w:tc>
          <w:tcPr>
            <w:tcW w:w="1725" w:type="dxa"/>
            <w:tcBorders>
              <w:top w:val="nil"/>
              <w:left w:val="nil"/>
              <w:bottom w:val="nil"/>
              <w:right w:val="nil"/>
            </w:tcBorders>
            <w:shd w:val="clear" w:color="auto" w:fill="auto"/>
            <w:noWrap/>
            <w:vAlign w:val="bottom"/>
            <w:hideMark/>
          </w:tcPr>
          <w:p w14:paraId="51F9E541" w14:textId="77777777" w:rsidR="008B417C" w:rsidRPr="008B417C" w:rsidRDefault="008B417C" w:rsidP="009D636A">
            <w:pPr>
              <w:spacing w:after="0" w:line="240" w:lineRule="auto"/>
              <w:jc w:val="center"/>
              <w:rPr>
                <w:rFonts w:eastAsia="Times New Roman"/>
                <w:color w:val="000000"/>
              </w:rPr>
            </w:pPr>
          </w:p>
        </w:tc>
        <w:tc>
          <w:tcPr>
            <w:tcW w:w="3175" w:type="dxa"/>
            <w:tcBorders>
              <w:top w:val="nil"/>
              <w:left w:val="nil"/>
              <w:bottom w:val="nil"/>
              <w:right w:val="nil"/>
            </w:tcBorders>
            <w:shd w:val="clear" w:color="auto" w:fill="auto"/>
            <w:noWrap/>
            <w:vAlign w:val="bottom"/>
            <w:hideMark/>
          </w:tcPr>
          <w:p w14:paraId="7ADCD02B" w14:textId="77777777" w:rsidR="008B417C" w:rsidRPr="008B417C" w:rsidRDefault="008B417C" w:rsidP="009D636A">
            <w:pPr>
              <w:spacing w:after="0" w:line="240" w:lineRule="auto"/>
              <w:jc w:val="center"/>
              <w:rPr>
                <w:rFonts w:eastAsia="Times New Roman"/>
                <w:color w:val="000000"/>
              </w:rPr>
            </w:pPr>
          </w:p>
        </w:tc>
        <w:tc>
          <w:tcPr>
            <w:tcW w:w="1073" w:type="dxa"/>
            <w:tcBorders>
              <w:top w:val="nil"/>
              <w:left w:val="nil"/>
              <w:bottom w:val="nil"/>
              <w:right w:val="nil"/>
            </w:tcBorders>
            <w:shd w:val="clear" w:color="auto" w:fill="auto"/>
            <w:noWrap/>
            <w:vAlign w:val="bottom"/>
          </w:tcPr>
          <w:p w14:paraId="042AEE7F" w14:textId="77777777" w:rsidR="008B417C" w:rsidRPr="008B417C" w:rsidRDefault="008B417C" w:rsidP="009D636A">
            <w:pPr>
              <w:spacing w:after="0" w:line="240" w:lineRule="auto"/>
              <w:jc w:val="center"/>
              <w:rPr>
                <w:rFonts w:eastAsia="Times New Roman"/>
                <w:color w:val="000000"/>
              </w:rPr>
            </w:pPr>
          </w:p>
        </w:tc>
      </w:tr>
    </w:tbl>
    <w:p w14:paraId="346AEA9F" w14:textId="77777777" w:rsidR="00C87FE7" w:rsidRDefault="00C87FE7" w:rsidP="009250A7">
      <w:pPr>
        <w:rPr>
          <w:b/>
        </w:rPr>
      </w:pPr>
    </w:p>
    <w:sectPr w:rsidR="00C87FE7" w:rsidSect="0017058F">
      <w:footerReference w:type="default" r:id="rId14"/>
      <w:pgSz w:w="12240" w:h="15840"/>
      <w:pgMar w:top="1440" w:right="1440" w:bottom="1440" w:left="1440" w:header="72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5E591" w14:textId="77777777" w:rsidR="0017058F" w:rsidRDefault="0017058F" w:rsidP="00033751">
      <w:pPr>
        <w:spacing w:after="0" w:line="240" w:lineRule="auto"/>
      </w:pPr>
      <w:r>
        <w:separator/>
      </w:r>
    </w:p>
  </w:endnote>
  <w:endnote w:type="continuationSeparator" w:id="0">
    <w:p w14:paraId="67B59FB4" w14:textId="77777777" w:rsidR="0017058F" w:rsidRDefault="0017058F" w:rsidP="00033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3420"/>
      <w:gridCol w:w="5940"/>
    </w:tblGrid>
    <w:tr w:rsidR="002459A6" w14:paraId="7CEDF23E" w14:textId="77777777" w:rsidTr="000B73C1">
      <w:trPr>
        <w:trHeight w:hRule="exact" w:val="270"/>
        <w:jc w:val="center"/>
      </w:trPr>
      <w:tc>
        <w:tcPr>
          <w:tcW w:w="3420" w:type="dxa"/>
          <w:shd w:val="clear" w:color="auto" w:fill="5B9BD5" w:themeFill="accent1"/>
          <w:tcMar>
            <w:top w:w="0" w:type="dxa"/>
            <w:bottom w:w="0" w:type="dxa"/>
          </w:tcMar>
        </w:tcPr>
        <w:p w14:paraId="030C4137" w14:textId="77777777" w:rsidR="002459A6" w:rsidRDefault="002459A6">
          <w:pPr>
            <w:pStyle w:val="Header"/>
            <w:tabs>
              <w:tab w:val="clear" w:pos="4680"/>
              <w:tab w:val="clear" w:pos="9360"/>
            </w:tabs>
            <w:rPr>
              <w:caps/>
              <w:sz w:val="18"/>
            </w:rPr>
          </w:pPr>
        </w:p>
      </w:tc>
      <w:tc>
        <w:tcPr>
          <w:tcW w:w="5940" w:type="dxa"/>
          <w:shd w:val="clear" w:color="auto" w:fill="5B9BD5" w:themeFill="accent1"/>
          <w:tcMar>
            <w:top w:w="0" w:type="dxa"/>
            <w:bottom w:w="0" w:type="dxa"/>
          </w:tcMar>
        </w:tcPr>
        <w:p w14:paraId="082E8D43" w14:textId="77777777" w:rsidR="002459A6" w:rsidRDefault="002459A6">
          <w:pPr>
            <w:pStyle w:val="Header"/>
            <w:tabs>
              <w:tab w:val="clear" w:pos="4680"/>
              <w:tab w:val="clear" w:pos="9360"/>
            </w:tabs>
            <w:jc w:val="right"/>
            <w:rPr>
              <w:caps/>
              <w:sz w:val="18"/>
            </w:rPr>
          </w:pPr>
        </w:p>
      </w:tc>
    </w:tr>
    <w:tr w:rsidR="002459A6" w14:paraId="5167144D" w14:textId="77777777" w:rsidTr="000B73C1">
      <w:trPr>
        <w:jc w:val="center"/>
      </w:trPr>
      <w:sdt>
        <w:sdtPr>
          <w:rPr>
            <w:caps/>
            <w:color w:val="808080" w:themeColor="background1" w:themeShade="80"/>
            <w:sz w:val="18"/>
            <w:szCs w:val="18"/>
          </w:rPr>
          <w:alias w:val="Author"/>
          <w:tag w:val=""/>
          <w:id w:val="1534151868"/>
          <w:placeholder>
            <w:docPart w:val="E95C630F3FEA4265A13AC05D9303EF05"/>
          </w:placeholder>
          <w:dataBinding w:prefixMappings="xmlns:ns0='http://purl.org/dc/elements/1.1/' xmlns:ns1='http://schemas.openxmlformats.org/package/2006/metadata/core-properties' " w:xpath="/ns1:coreProperties[1]/ns0:creator[1]" w:storeItemID="{6C3C8BC8-F283-45AE-878A-BAB7291924A1}"/>
          <w:text/>
        </w:sdtPr>
        <w:sdtContent>
          <w:tc>
            <w:tcPr>
              <w:tcW w:w="3420" w:type="dxa"/>
              <w:shd w:val="clear" w:color="auto" w:fill="auto"/>
              <w:vAlign w:val="center"/>
            </w:tcPr>
            <w:p w14:paraId="4F73407B" w14:textId="77777777" w:rsidR="002459A6" w:rsidRDefault="002459A6" w:rsidP="000B73C1">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Kentucky Department of Education  Division of District Support</w:t>
              </w:r>
            </w:p>
          </w:tc>
        </w:sdtContent>
      </w:sdt>
      <w:tc>
        <w:tcPr>
          <w:tcW w:w="5940" w:type="dxa"/>
          <w:shd w:val="clear" w:color="auto" w:fill="auto"/>
          <w:vAlign w:val="center"/>
        </w:tcPr>
        <w:p w14:paraId="137D8514" w14:textId="77777777" w:rsidR="002459A6" w:rsidRDefault="002459A6">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124DDE">
            <w:rPr>
              <w:caps/>
              <w:noProof/>
              <w:color w:val="808080" w:themeColor="background1" w:themeShade="80"/>
              <w:sz w:val="18"/>
              <w:szCs w:val="18"/>
            </w:rPr>
            <w:t>2</w:t>
          </w:r>
          <w:r>
            <w:rPr>
              <w:caps/>
              <w:noProof/>
              <w:color w:val="808080" w:themeColor="background1" w:themeShade="80"/>
              <w:sz w:val="18"/>
              <w:szCs w:val="18"/>
            </w:rPr>
            <w:fldChar w:fldCharType="end"/>
          </w:r>
        </w:p>
      </w:tc>
    </w:tr>
  </w:tbl>
  <w:p w14:paraId="7A82A51C" w14:textId="77777777" w:rsidR="002459A6" w:rsidRDefault="002459A6" w:rsidP="00494674">
    <w:pPr>
      <w:pStyle w:val="Foote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F42FA" w14:textId="77777777" w:rsidR="0017058F" w:rsidRDefault="0017058F" w:rsidP="00033751">
      <w:pPr>
        <w:spacing w:after="0" w:line="240" w:lineRule="auto"/>
      </w:pPr>
      <w:r>
        <w:separator/>
      </w:r>
    </w:p>
  </w:footnote>
  <w:footnote w:type="continuationSeparator" w:id="0">
    <w:p w14:paraId="6523ABF6" w14:textId="77777777" w:rsidR="0017058F" w:rsidRDefault="0017058F" w:rsidP="000337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F3D0D"/>
    <w:multiLevelType w:val="hybridMultilevel"/>
    <w:tmpl w:val="61D48E3C"/>
    <w:lvl w:ilvl="0" w:tplc="04090001">
      <w:start w:val="1"/>
      <w:numFmt w:val="bullet"/>
      <w:lvlText w:val=""/>
      <w:lvlJc w:val="left"/>
      <w:pPr>
        <w:ind w:left="1080" w:hanging="360"/>
      </w:pPr>
      <w:rPr>
        <w:rFonts w:ascii="Symbol" w:hAnsi="Symbol" w:hint="default"/>
      </w:rPr>
    </w:lvl>
    <w:lvl w:ilvl="1" w:tplc="026C2E4A">
      <w:start w:val="1"/>
      <w:numFmt w:val="lowerLetter"/>
      <w:lvlText w:val="%2."/>
      <w:lvlJc w:val="left"/>
      <w:pPr>
        <w:ind w:left="1800" w:hanging="360"/>
      </w:pPr>
      <w:rPr>
        <w:rFonts w:ascii="Calibri" w:eastAsia="Calibri" w:hAnsi="Calibri" w:cs="Times New Roman"/>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7F4979"/>
    <w:multiLevelType w:val="hybridMultilevel"/>
    <w:tmpl w:val="D1646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83077"/>
    <w:multiLevelType w:val="hybridMultilevel"/>
    <w:tmpl w:val="F1EEC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2F4F0F"/>
    <w:multiLevelType w:val="hybridMultilevel"/>
    <w:tmpl w:val="922E9A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F155E8"/>
    <w:multiLevelType w:val="hybridMultilevel"/>
    <w:tmpl w:val="D09C8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0E264A"/>
    <w:multiLevelType w:val="hybridMultilevel"/>
    <w:tmpl w:val="C6482D2E"/>
    <w:lvl w:ilvl="0" w:tplc="8C28725C">
      <w:start w:val="1"/>
      <w:numFmt w:val="lowerLetter"/>
      <w:lvlText w:val="%1."/>
      <w:lvlJc w:val="left"/>
      <w:pPr>
        <w:ind w:left="1800" w:hanging="360"/>
      </w:pPr>
      <w:rPr>
        <w:rFonts w:ascii="Calibri" w:eastAsia="Calibri" w:hAnsi="Calibri"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E9D71C7"/>
    <w:multiLevelType w:val="hybridMultilevel"/>
    <w:tmpl w:val="6206EC98"/>
    <w:lvl w:ilvl="0" w:tplc="4442FD7A">
      <w:start w:val="1"/>
      <w:numFmt w:val="lowerLetter"/>
      <w:lvlText w:val="%1."/>
      <w:lvlJc w:val="left"/>
      <w:pPr>
        <w:ind w:left="1800" w:hanging="360"/>
      </w:pPr>
      <w:rPr>
        <w:rFonts w:ascii="Calibri" w:eastAsia="Calibri" w:hAnsi="Calibri"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0624E75"/>
    <w:multiLevelType w:val="hybridMultilevel"/>
    <w:tmpl w:val="6C2A2A34"/>
    <w:lvl w:ilvl="0" w:tplc="80F0DF58">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5CC03BE"/>
    <w:multiLevelType w:val="hybridMultilevel"/>
    <w:tmpl w:val="5A10AF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8B346DC"/>
    <w:multiLevelType w:val="hybridMultilevel"/>
    <w:tmpl w:val="405C77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EA66C41"/>
    <w:multiLevelType w:val="hybridMultilevel"/>
    <w:tmpl w:val="701ECA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5C6FF5"/>
    <w:multiLevelType w:val="hybridMultilevel"/>
    <w:tmpl w:val="D16CB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5476DA"/>
    <w:multiLevelType w:val="hybridMultilevel"/>
    <w:tmpl w:val="B5947308"/>
    <w:lvl w:ilvl="0" w:tplc="E4147018">
      <w:start w:val="5"/>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88469C6"/>
    <w:multiLevelType w:val="hybridMultilevel"/>
    <w:tmpl w:val="4E1286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EE04FCB"/>
    <w:multiLevelType w:val="hybridMultilevel"/>
    <w:tmpl w:val="6F720878"/>
    <w:lvl w:ilvl="0" w:tplc="3DEE4ED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00C4124"/>
    <w:multiLevelType w:val="hybridMultilevel"/>
    <w:tmpl w:val="066E0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3BD69F4"/>
    <w:multiLevelType w:val="hybridMultilevel"/>
    <w:tmpl w:val="0FDE05A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99791998">
    <w:abstractNumId w:val="11"/>
  </w:num>
  <w:num w:numId="2" w16cid:durableId="558247944">
    <w:abstractNumId w:val="9"/>
  </w:num>
  <w:num w:numId="3" w16cid:durableId="224726508">
    <w:abstractNumId w:val="0"/>
  </w:num>
  <w:num w:numId="4" w16cid:durableId="729420652">
    <w:abstractNumId w:val="12"/>
  </w:num>
  <w:num w:numId="5" w16cid:durableId="2096239649">
    <w:abstractNumId w:val="10"/>
  </w:num>
  <w:num w:numId="6" w16cid:durableId="1945725860">
    <w:abstractNumId w:val="3"/>
  </w:num>
  <w:num w:numId="7" w16cid:durableId="1477258941">
    <w:abstractNumId w:val="1"/>
  </w:num>
  <w:num w:numId="8" w16cid:durableId="1030495898">
    <w:abstractNumId w:val="8"/>
  </w:num>
  <w:num w:numId="9" w16cid:durableId="1839031162">
    <w:abstractNumId w:val="4"/>
  </w:num>
  <w:num w:numId="10" w16cid:durableId="105083076">
    <w:abstractNumId w:val="7"/>
  </w:num>
  <w:num w:numId="11" w16cid:durableId="1467166111">
    <w:abstractNumId w:val="13"/>
  </w:num>
  <w:num w:numId="12" w16cid:durableId="898440703">
    <w:abstractNumId w:val="2"/>
  </w:num>
  <w:num w:numId="13" w16cid:durableId="1663586659">
    <w:abstractNumId w:val="6"/>
  </w:num>
  <w:num w:numId="14" w16cid:durableId="2061856907">
    <w:abstractNumId w:val="16"/>
  </w:num>
  <w:num w:numId="15" w16cid:durableId="58017675">
    <w:abstractNumId w:val="14"/>
  </w:num>
  <w:num w:numId="16" w16cid:durableId="1153450953">
    <w:abstractNumId w:val="5"/>
  </w:num>
  <w:num w:numId="17" w16cid:durableId="15891467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0C4"/>
    <w:rsid w:val="00017C45"/>
    <w:rsid w:val="00024A6A"/>
    <w:rsid w:val="00026449"/>
    <w:rsid w:val="000274CB"/>
    <w:rsid w:val="0003176B"/>
    <w:rsid w:val="00033751"/>
    <w:rsid w:val="0003411B"/>
    <w:rsid w:val="0003587B"/>
    <w:rsid w:val="00036CB1"/>
    <w:rsid w:val="00042605"/>
    <w:rsid w:val="00046133"/>
    <w:rsid w:val="00050CDA"/>
    <w:rsid w:val="000529E2"/>
    <w:rsid w:val="00063D35"/>
    <w:rsid w:val="000734D2"/>
    <w:rsid w:val="0008183F"/>
    <w:rsid w:val="00085795"/>
    <w:rsid w:val="00091F64"/>
    <w:rsid w:val="000A02EB"/>
    <w:rsid w:val="000A0C9E"/>
    <w:rsid w:val="000B73C1"/>
    <w:rsid w:val="000D0918"/>
    <w:rsid w:val="000D2E8E"/>
    <w:rsid w:val="000D7077"/>
    <w:rsid w:val="000E3E59"/>
    <w:rsid w:val="000E65D9"/>
    <w:rsid w:val="000F5512"/>
    <w:rsid w:val="0011468E"/>
    <w:rsid w:val="001229C5"/>
    <w:rsid w:val="00124DDE"/>
    <w:rsid w:val="00125B1E"/>
    <w:rsid w:val="00135F48"/>
    <w:rsid w:val="0014005C"/>
    <w:rsid w:val="00145985"/>
    <w:rsid w:val="00147A9E"/>
    <w:rsid w:val="00152202"/>
    <w:rsid w:val="00152D41"/>
    <w:rsid w:val="001548ED"/>
    <w:rsid w:val="00156C6B"/>
    <w:rsid w:val="0017058F"/>
    <w:rsid w:val="00172206"/>
    <w:rsid w:val="001745FB"/>
    <w:rsid w:val="00183844"/>
    <w:rsid w:val="00183B0D"/>
    <w:rsid w:val="00190497"/>
    <w:rsid w:val="001A3F99"/>
    <w:rsid w:val="001A4E81"/>
    <w:rsid w:val="001B205F"/>
    <w:rsid w:val="001C7624"/>
    <w:rsid w:val="001E2FEA"/>
    <w:rsid w:val="001F1CC7"/>
    <w:rsid w:val="001F39AB"/>
    <w:rsid w:val="00202522"/>
    <w:rsid w:val="00203586"/>
    <w:rsid w:val="00204F22"/>
    <w:rsid w:val="002131C5"/>
    <w:rsid w:val="00213888"/>
    <w:rsid w:val="00223E1D"/>
    <w:rsid w:val="002248CE"/>
    <w:rsid w:val="00226D63"/>
    <w:rsid w:val="002310C4"/>
    <w:rsid w:val="00241414"/>
    <w:rsid w:val="00243F1C"/>
    <w:rsid w:val="002458CD"/>
    <w:rsid w:val="002459A6"/>
    <w:rsid w:val="00251266"/>
    <w:rsid w:val="0025634A"/>
    <w:rsid w:val="00263CA4"/>
    <w:rsid w:val="00264575"/>
    <w:rsid w:val="00265747"/>
    <w:rsid w:val="00275A71"/>
    <w:rsid w:val="00280113"/>
    <w:rsid w:val="0028061E"/>
    <w:rsid w:val="00284033"/>
    <w:rsid w:val="00287536"/>
    <w:rsid w:val="0029002A"/>
    <w:rsid w:val="002954F9"/>
    <w:rsid w:val="00297CD4"/>
    <w:rsid w:val="002A30BD"/>
    <w:rsid w:val="002C6979"/>
    <w:rsid w:val="002D0918"/>
    <w:rsid w:val="002F3F59"/>
    <w:rsid w:val="002F77B1"/>
    <w:rsid w:val="0030663B"/>
    <w:rsid w:val="003171BA"/>
    <w:rsid w:val="003320EA"/>
    <w:rsid w:val="003330F7"/>
    <w:rsid w:val="0034714B"/>
    <w:rsid w:val="003519C9"/>
    <w:rsid w:val="0038098B"/>
    <w:rsid w:val="00390BE4"/>
    <w:rsid w:val="00394B87"/>
    <w:rsid w:val="003959DA"/>
    <w:rsid w:val="003A1FA9"/>
    <w:rsid w:val="003A60F4"/>
    <w:rsid w:val="003B5420"/>
    <w:rsid w:val="003E37A9"/>
    <w:rsid w:val="003E412B"/>
    <w:rsid w:val="003E7B9F"/>
    <w:rsid w:val="004003D5"/>
    <w:rsid w:val="004015AB"/>
    <w:rsid w:val="0040173E"/>
    <w:rsid w:val="00416C21"/>
    <w:rsid w:val="0043319B"/>
    <w:rsid w:val="00434B76"/>
    <w:rsid w:val="004427EB"/>
    <w:rsid w:val="00442E6F"/>
    <w:rsid w:val="00444D4A"/>
    <w:rsid w:val="0044540C"/>
    <w:rsid w:val="00445E34"/>
    <w:rsid w:val="00450964"/>
    <w:rsid w:val="004642E5"/>
    <w:rsid w:val="004730A0"/>
    <w:rsid w:val="0047465C"/>
    <w:rsid w:val="00482D46"/>
    <w:rsid w:val="0048326F"/>
    <w:rsid w:val="00483861"/>
    <w:rsid w:val="004933DE"/>
    <w:rsid w:val="00494674"/>
    <w:rsid w:val="004949A8"/>
    <w:rsid w:val="0049577B"/>
    <w:rsid w:val="004B682C"/>
    <w:rsid w:val="004C5780"/>
    <w:rsid w:val="004C5FB0"/>
    <w:rsid w:val="004C7E82"/>
    <w:rsid w:val="004D1703"/>
    <w:rsid w:val="004E30BB"/>
    <w:rsid w:val="004E6EAC"/>
    <w:rsid w:val="00501D0B"/>
    <w:rsid w:val="005126CF"/>
    <w:rsid w:val="00522136"/>
    <w:rsid w:val="00525F34"/>
    <w:rsid w:val="00531DFB"/>
    <w:rsid w:val="00544073"/>
    <w:rsid w:val="005718D3"/>
    <w:rsid w:val="00580365"/>
    <w:rsid w:val="0059123C"/>
    <w:rsid w:val="00596849"/>
    <w:rsid w:val="0059799A"/>
    <w:rsid w:val="005A120A"/>
    <w:rsid w:val="005A46DC"/>
    <w:rsid w:val="005A5C5B"/>
    <w:rsid w:val="005C2329"/>
    <w:rsid w:val="005D4D38"/>
    <w:rsid w:val="005E0765"/>
    <w:rsid w:val="005E1A4C"/>
    <w:rsid w:val="005F7F9B"/>
    <w:rsid w:val="0060310D"/>
    <w:rsid w:val="00603C9A"/>
    <w:rsid w:val="006327AE"/>
    <w:rsid w:val="00633552"/>
    <w:rsid w:val="00654EAA"/>
    <w:rsid w:val="00662C3A"/>
    <w:rsid w:val="006663B5"/>
    <w:rsid w:val="006673B2"/>
    <w:rsid w:val="00667EE3"/>
    <w:rsid w:val="00670998"/>
    <w:rsid w:val="00674559"/>
    <w:rsid w:val="00676953"/>
    <w:rsid w:val="00682EC5"/>
    <w:rsid w:val="006930F0"/>
    <w:rsid w:val="00693752"/>
    <w:rsid w:val="006976EB"/>
    <w:rsid w:val="006A6D9D"/>
    <w:rsid w:val="006C0F3E"/>
    <w:rsid w:val="006C5F7D"/>
    <w:rsid w:val="006D0EF6"/>
    <w:rsid w:val="006D7FF0"/>
    <w:rsid w:val="006E03D2"/>
    <w:rsid w:val="006E07AE"/>
    <w:rsid w:val="006E3642"/>
    <w:rsid w:val="006E661F"/>
    <w:rsid w:val="00701414"/>
    <w:rsid w:val="0070493F"/>
    <w:rsid w:val="007107DC"/>
    <w:rsid w:val="007242D9"/>
    <w:rsid w:val="0072734A"/>
    <w:rsid w:val="00735051"/>
    <w:rsid w:val="007505E0"/>
    <w:rsid w:val="00752315"/>
    <w:rsid w:val="00753788"/>
    <w:rsid w:val="00755FEE"/>
    <w:rsid w:val="00761A2A"/>
    <w:rsid w:val="00761F72"/>
    <w:rsid w:val="0076340E"/>
    <w:rsid w:val="00771554"/>
    <w:rsid w:val="007801AE"/>
    <w:rsid w:val="00792CA7"/>
    <w:rsid w:val="007952B4"/>
    <w:rsid w:val="00796E07"/>
    <w:rsid w:val="0079771E"/>
    <w:rsid w:val="007A1303"/>
    <w:rsid w:val="007A2C03"/>
    <w:rsid w:val="007B4306"/>
    <w:rsid w:val="007B4DC0"/>
    <w:rsid w:val="007C0BEC"/>
    <w:rsid w:val="007C1AC8"/>
    <w:rsid w:val="007D73A1"/>
    <w:rsid w:val="007D7BF0"/>
    <w:rsid w:val="007E6C71"/>
    <w:rsid w:val="007E78B9"/>
    <w:rsid w:val="007F31E4"/>
    <w:rsid w:val="008059E5"/>
    <w:rsid w:val="00813030"/>
    <w:rsid w:val="008145D7"/>
    <w:rsid w:val="008148C9"/>
    <w:rsid w:val="00815A4C"/>
    <w:rsid w:val="00822544"/>
    <w:rsid w:val="00826442"/>
    <w:rsid w:val="00830543"/>
    <w:rsid w:val="008343F0"/>
    <w:rsid w:val="008422E4"/>
    <w:rsid w:val="0084381A"/>
    <w:rsid w:val="0085096B"/>
    <w:rsid w:val="00860792"/>
    <w:rsid w:val="00873F27"/>
    <w:rsid w:val="0087683B"/>
    <w:rsid w:val="0088112A"/>
    <w:rsid w:val="00884B73"/>
    <w:rsid w:val="0088638E"/>
    <w:rsid w:val="008A7B39"/>
    <w:rsid w:val="008B0876"/>
    <w:rsid w:val="008B279A"/>
    <w:rsid w:val="008B417C"/>
    <w:rsid w:val="008B64E5"/>
    <w:rsid w:val="008C037F"/>
    <w:rsid w:val="008D14E2"/>
    <w:rsid w:val="008D24B2"/>
    <w:rsid w:val="008D3A2B"/>
    <w:rsid w:val="008D5A34"/>
    <w:rsid w:val="00900958"/>
    <w:rsid w:val="00904CEA"/>
    <w:rsid w:val="00907F36"/>
    <w:rsid w:val="009108D6"/>
    <w:rsid w:val="00916351"/>
    <w:rsid w:val="00916698"/>
    <w:rsid w:val="00921A94"/>
    <w:rsid w:val="009250A7"/>
    <w:rsid w:val="009335DF"/>
    <w:rsid w:val="009360AC"/>
    <w:rsid w:val="00943A3D"/>
    <w:rsid w:val="00945374"/>
    <w:rsid w:val="009573A0"/>
    <w:rsid w:val="00976B95"/>
    <w:rsid w:val="009823EF"/>
    <w:rsid w:val="00982F51"/>
    <w:rsid w:val="009926C8"/>
    <w:rsid w:val="00995B09"/>
    <w:rsid w:val="009B1959"/>
    <w:rsid w:val="009B2257"/>
    <w:rsid w:val="009B2B8E"/>
    <w:rsid w:val="009C3E96"/>
    <w:rsid w:val="009C4648"/>
    <w:rsid w:val="009D636A"/>
    <w:rsid w:val="009D7178"/>
    <w:rsid w:val="009E2181"/>
    <w:rsid w:val="009E4305"/>
    <w:rsid w:val="009E713B"/>
    <w:rsid w:val="009F5D94"/>
    <w:rsid w:val="00A018C2"/>
    <w:rsid w:val="00A05DFC"/>
    <w:rsid w:val="00A05F61"/>
    <w:rsid w:val="00A11493"/>
    <w:rsid w:val="00A1168A"/>
    <w:rsid w:val="00A13B20"/>
    <w:rsid w:val="00A246EF"/>
    <w:rsid w:val="00A25226"/>
    <w:rsid w:val="00A2651E"/>
    <w:rsid w:val="00A3432B"/>
    <w:rsid w:val="00A35144"/>
    <w:rsid w:val="00A359CF"/>
    <w:rsid w:val="00A4491F"/>
    <w:rsid w:val="00A462EE"/>
    <w:rsid w:val="00A53EA0"/>
    <w:rsid w:val="00A73552"/>
    <w:rsid w:val="00A753CE"/>
    <w:rsid w:val="00A82451"/>
    <w:rsid w:val="00A829F1"/>
    <w:rsid w:val="00A87E8B"/>
    <w:rsid w:val="00A92493"/>
    <w:rsid w:val="00A966B9"/>
    <w:rsid w:val="00AA0899"/>
    <w:rsid w:val="00AB2C54"/>
    <w:rsid w:val="00AC6EB6"/>
    <w:rsid w:val="00AD2C0D"/>
    <w:rsid w:val="00AE623A"/>
    <w:rsid w:val="00AF1B79"/>
    <w:rsid w:val="00AF34D4"/>
    <w:rsid w:val="00AF39DD"/>
    <w:rsid w:val="00B0288D"/>
    <w:rsid w:val="00B0340E"/>
    <w:rsid w:val="00B0671E"/>
    <w:rsid w:val="00B12BDA"/>
    <w:rsid w:val="00B15AFB"/>
    <w:rsid w:val="00B21E72"/>
    <w:rsid w:val="00B24626"/>
    <w:rsid w:val="00B405D5"/>
    <w:rsid w:val="00B4769D"/>
    <w:rsid w:val="00B538BE"/>
    <w:rsid w:val="00B6417D"/>
    <w:rsid w:val="00B65E49"/>
    <w:rsid w:val="00B664CC"/>
    <w:rsid w:val="00B75E3D"/>
    <w:rsid w:val="00B82448"/>
    <w:rsid w:val="00B82AB6"/>
    <w:rsid w:val="00B843B7"/>
    <w:rsid w:val="00B85D43"/>
    <w:rsid w:val="00B86C65"/>
    <w:rsid w:val="00B90FFF"/>
    <w:rsid w:val="00BA0349"/>
    <w:rsid w:val="00BA1C62"/>
    <w:rsid w:val="00BA41D3"/>
    <w:rsid w:val="00BA621C"/>
    <w:rsid w:val="00BB332B"/>
    <w:rsid w:val="00BB5BAF"/>
    <w:rsid w:val="00BB5E3B"/>
    <w:rsid w:val="00BB7F3F"/>
    <w:rsid w:val="00BD2962"/>
    <w:rsid w:val="00BE1D8F"/>
    <w:rsid w:val="00BE3E53"/>
    <w:rsid w:val="00BE7DC8"/>
    <w:rsid w:val="00BF0030"/>
    <w:rsid w:val="00BF27A6"/>
    <w:rsid w:val="00C1772B"/>
    <w:rsid w:val="00C30458"/>
    <w:rsid w:val="00C328C0"/>
    <w:rsid w:val="00C43DAC"/>
    <w:rsid w:val="00C5134E"/>
    <w:rsid w:val="00C55F20"/>
    <w:rsid w:val="00C62727"/>
    <w:rsid w:val="00C77807"/>
    <w:rsid w:val="00C806B7"/>
    <w:rsid w:val="00C87FE7"/>
    <w:rsid w:val="00C91264"/>
    <w:rsid w:val="00C940EE"/>
    <w:rsid w:val="00C958F5"/>
    <w:rsid w:val="00CA6741"/>
    <w:rsid w:val="00CB0A36"/>
    <w:rsid w:val="00CB144D"/>
    <w:rsid w:val="00CC2EDC"/>
    <w:rsid w:val="00CD16EC"/>
    <w:rsid w:val="00CD6B92"/>
    <w:rsid w:val="00CE1729"/>
    <w:rsid w:val="00CE4690"/>
    <w:rsid w:val="00CF18A9"/>
    <w:rsid w:val="00D157B0"/>
    <w:rsid w:val="00D35F8F"/>
    <w:rsid w:val="00D417F1"/>
    <w:rsid w:val="00D43602"/>
    <w:rsid w:val="00D55BB1"/>
    <w:rsid w:val="00D61FA2"/>
    <w:rsid w:val="00D64792"/>
    <w:rsid w:val="00D70CC2"/>
    <w:rsid w:val="00D76048"/>
    <w:rsid w:val="00D82113"/>
    <w:rsid w:val="00D86DED"/>
    <w:rsid w:val="00DA0EC7"/>
    <w:rsid w:val="00DA19A8"/>
    <w:rsid w:val="00DA2FFD"/>
    <w:rsid w:val="00DA5F25"/>
    <w:rsid w:val="00DB1215"/>
    <w:rsid w:val="00DB14BE"/>
    <w:rsid w:val="00DC700B"/>
    <w:rsid w:val="00DC7B5B"/>
    <w:rsid w:val="00DD29C2"/>
    <w:rsid w:val="00DE6192"/>
    <w:rsid w:val="00DE6DBD"/>
    <w:rsid w:val="00DF6E7D"/>
    <w:rsid w:val="00E036D1"/>
    <w:rsid w:val="00E06B5A"/>
    <w:rsid w:val="00E114FF"/>
    <w:rsid w:val="00E21E2F"/>
    <w:rsid w:val="00E31C68"/>
    <w:rsid w:val="00E34DD9"/>
    <w:rsid w:val="00E449D6"/>
    <w:rsid w:val="00E519E3"/>
    <w:rsid w:val="00E702A4"/>
    <w:rsid w:val="00E707A4"/>
    <w:rsid w:val="00E75465"/>
    <w:rsid w:val="00E83F68"/>
    <w:rsid w:val="00E9232D"/>
    <w:rsid w:val="00E949AD"/>
    <w:rsid w:val="00EA4E86"/>
    <w:rsid w:val="00EB185D"/>
    <w:rsid w:val="00EC36A4"/>
    <w:rsid w:val="00ED1283"/>
    <w:rsid w:val="00EF503D"/>
    <w:rsid w:val="00EF5E35"/>
    <w:rsid w:val="00EF74D3"/>
    <w:rsid w:val="00F01980"/>
    <w:rsid w:val="00F01C73"/>
    <w:rsid w:val="00F02469"/>
    <w:rsid w:val="00F038F5"/>
    <w:rsid w:val="00F125D2"/>
    <w:rsid w:val="00F132F2"/>
    <w:rsid w:val="00F135EB"/>
    <w:rsid w:val="00F1578D"/>
    <w:rsid w:val="00F26DA6"/>
    <w:rsid w:val="00F331D4"/>
    <w:rsid w:val="00F343FB"/>
    <w:rsid w:val="00F5347B"/>
    <w:rsid w:val="00F542DE"/>
    <w:rsid w:val="00F66EF3"/>
    <w:rsid w:val="00F67CBC"/>
    <w:rsid w:val="00F74FEF"/>
    <w:rsid w:val="00F75F44"/>
    <w:rsid w:val="00F77496"/>
    <w:rsid w:val="00F938B9"/>
    <w:rsid w:val="00F945F4"/>
    <w:rsid w:val="00F952BD"/>
    <w:rsid w:val="00FA0C6F"/>
    <w:rsid w:val="00FB027B"/>
    <w:rsid w:val="00FB57EC"/>
    <w:rsid w:val="00FB6290"/>
    <w:rsid w:val="00FD135A"/>
    <w:rsid w:val="00FD21AD"/>
    <w:rsid w:val="00FD4C8C"/>
    <w:rsid w:val="00FD5340"/>
    <w:rsid w:val="00FD5ECD"/>
    <w:rsid w:val="00FE28AC"/>
    <w:rsid w:val="00FE4FD4"/>
    <w:rsid w:val="00FE6790"/>
    <w:rsid w:val="00FF0A20"/>
    <w:rsid w:val="00FF0FC2"/>
    <w:rsid w:val="00FF2D71"/>
    <w:rsid w:val="00FF3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2957A"/>
  <w15:chartTrackingRefBased/>
  <w15:docId w15:val="{BF53E143-40B7-4720-9D57-9458503F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2131C5"/>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33751"/>
    <w:rPr>
      <w:color w:val="0000FF"/>
      <w:u w:val="single"/>
    </w:rPr>
  </w:style>
  <w:style w:type="paragraph" w:customStyle="1" w:styleId="xl65">
    <w:name w:val="xl65"/>
    <w:basedOn w:val="Normal"/>
    <w:rsid w:val="00033751"/>
    <w:pPr>
      <w:shd w:val="clear" w:color="000000" w:fill="FFFF00"/>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Normal"/>
    <w:rsid w:val="00033751"/>
    <w:pPr>
      <w:shd w:val="clear" w:color="000000" w:fill="00B050"/>
      <w:spacing w:before="100" w:beforeAutospacing="1" w:after="100" w:afterAutospacing="1" w:line="240" w:lineRule="auto"/>
    </w:pPr>
    <w:rPr>
      <w:rFonts w:ascii="Times New Roman" w:eastAsia="Times New Roman" w:hAnsi="Times New Roman"/>
      <w:sz w:val="24"/>
      <w:szCs w:val="24"/>
    </w:rPr>
  </w:style>
  <w:style w:type="paragraph" w:customStyle="1" w:styleId="xl67">
    <w:name w:val="xl67"/>
    <w:basedOn w:val="Normal"/>
    <w:rsid w:val="00033751"/>
    <w:pPr>
      <w:shd w:val="clear" w:color="000000" w:fill="00B0F0"/>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Normal"/>
    <w:rsid w:val="00033751"/>
    <w:pPr>
      <w:shd w:val="clear" w:color="000000" w:fill="FF0000"/>
      <w:spacing w:before="100" w:beforeAutospacing="1" w:after="100" w:afterAutospacing="1" w:line="240" w:lineRule="auto"/>
    </w:pPr>
    <w:rPr>
      <w:rFonts w:ascii="Times New Roman" w:eastAsia="Times New Roman" w:hAnsi="Times New Roman"/>
      <w:sz w:val="24"/>
      <w:szCs w:val="24"/>
    </w:rPr>
  </w:style>
  <w:style w:type="paragraph" w:customStyle="1" w:styleId="xl69">
    <w:name w:val="xl69"/>
    <w:basedOn w:val="Normal"/>
    <w:rsid w:val="00033751"/>
    <w:pPr>
      <w:shd w:val="clear" w:color="000000" w:fill="CCC0DA"/>
      <w:spacing w:before="100" w:beforeAutospacing="1" w:after="100" w:afterAutospacing="1" w:line="240" w:lineRule="auto"/>
    </w:pPr>
    <w:rPr>
      <w:rFonts w:ascii="Times New Roman" w:eastAsia="Times New Roman" w:hAnsi="Times New Roman"/>
      <w:sz w:val="24"/>
      <w:szCs w:val="24"/>
    </w:rPr>
  </w:style>
  <w:style w:type="paragraph" w:customStyle="1" w:styleId="xl70">
    <w:name w:val="xl70"/>
    <w:basedOn w:val="Normal"/>
    <w:rsid w:val="00033751"/>
    <w:pPr>
      <w:shd w:val="clear" w:color="000000" w:fill="F79646"/>
      <w:spacing w:before="100" w:beforeAutospacing="1" w:after="100" w:afterAutospacing="1" w:line="240" w:lineRule="auto"/>
    </w:pPr>
    <w:rPr>
      <w:rFonts w:ascii="Times New Roman" w:eastAsia="Times New Roman" w:hAnsi="Times New Roman"/>
      <w:sz w:val="24"/>
      <w:szCs w:val="24"/>
    </w:rPr>
  </w:style>
  <w:style w:type="paragraph" w:customStyle="1" w:styleId="xl71">
    <w:name w:val="xl71"/>
    <w:basedOn w:val="Normal"/>
    <w:rsid w:val="000337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8"/>
      <w:szCs w:val="18"/>
    </w:rPr>
  </w:style>
  <w:style w:type="paragraph" w:customStyle="1" w:styleId="xl72">
    <w:name w:val="xl72"/>
    <w:basedOn w:val="Normal"/>
    <w:rsid w:val="000337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73">
    <w:name w:val="xl73"/>
    <w:basedOn w:val="Normal"/>
    <w:rsid w:val="0003375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74">
    <w:name w:val="xl74"/>
    <w:basedOn w:val="Normal"/>
    <w:rsid w:val="0003375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75">
    <w:name w:val="xl75"/>
    <w:basedOn w:val="Normal"/>
    <w:rsid w:val="0003375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76">
    <w:name w:val="xl76"/>
    <w:basedOn w:val="Normal"/>
    <w:rsid w:val="0003375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77">
    <w:name w:val="xl77"/>
    <w:basedOn w:val="Normal"/>
    <w:rsid w:val="00033751"/>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78">
    <w:name w:val="xl78"/>
    <w:basedOn w:val="Normal"/>
    <w:rsid w:val="00033751"/>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79">
    <w:name w:val="xl79"/>
    <w:basedOn w:val="Normal"/>
    <w:rsid w:val="000337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rPr>
  </w:style>
  <w:style w:type="paragraph" w:customStyle="1" w:styleId="xl80">
    <w:name w:val="xl80"/>
    <w:basedOn w:val="Normal"/>
    <w:rsid w:val="000337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rPr>
  </w:style>
  <w:style w:type="paragraph" w:customStyle="1" w:styleId="xl81">
    <w:name w:val="xl81"/>
    <w:basedOn w:val="Normal"/>
    <w:rsid w:val="0003375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18"/>
      <w:szCs w:val="18"/>
    </w:rPr>
  </w:style>
  <w:style w:type="paragraph" w:customStyle="1" w:styleId="xl82">
    <w:name w:val="xl82"/>
    <w:basedOn w:val="Normal"/>
    <w:rsid w:val="0003375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sz w:val="18"/>
      <w:szCs w:val="18"/>
    </w:rPr>
  </w:style>
  <w:style w:type="paragraph" w:customStyle="1" w:styleId="xl83">
    <w:name w:val="xl83"/>
    <w:basedOn w:val="Normal"/>
    <w:rsid w:val="0003375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sz w:val="18"/>
      <w:szCs w:val="18"/>
    </w:rPr>
  </w:style>
  <w:style w:type="paragraph" w:customStyle="1" w:styleId="xl84">
    <w:name w:val="xl84"/>
    <w:basedOn w:val="Normal"/>
    <w:rsid w:val="0003375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sz w:val="18"/>
      <w:szCs w:val="18"/>
    </w:rPr>
  </w:style>
  <w:style w:type="paragraph" w:customStyle="1" w:styleId="xl85">
    <w:name w:val="xl85"/>
    <w:basedOn w:val="Normal"/>
    <w:rsid w:val="00033751"/>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18"/>
      <w:szCs w:val="18"/>
    </w:rPr>
  </w:style>
  <w:style w:type="paragraph" w:customStyle="1" w:styleId="xl86">
    <w:name w:val="xl86"/>
    <w:basedOn w:val="Normal"/>
    <w:rsid w:val="00033751"/>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pPr>
    <w:rPr>
      <w:rFonts w:ascii="Times New Roman" w:eastAsia="Times New Roman" w:hAnsi="Times New Roman"/>
      <w:sz w:val="18"/>
      <w:szCs w:val="18"/>
    </w:rPr>
  </w:style>
  <w:style w:type="paragraph" w:customStyle="1" w:styleId="xl87">
    <w:name w:val="xl87"/>
    <w:basedOn w:val="Normal"/>
    <w:rsid w:val="0003375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sz w:val="18"/>
      <w:szCs w:val="18"/>
    </w:rPr>
  </w:style>
  <w:style w:type="paragraph" w:customStyle="1" w:styleId="xl88">
    <w:name w:val="xl88"/>
    <w:basedOn w:val="Normal"/>
    <w:rsid w:val="0003375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18"/>
      <w:szCs w:val="18"/>
    </w:rPr>
  </w:style>
  <w:style w:type="paragraph" w:customStyle="1" w:styleId="xl89">
    <w:name w:val="xl89"/>
    <w:basedOn w:val="Normal"/>
    <w:rsid w:val="0003375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sz w:val="18"/>
      <w:szCs w:val="18"/>
    </w:rPr>
  </w:style>
  <w:style w:type="paragraph" w:customStyle="1" w:styleId="xl90">
    <w:name w:val="xl90"/>
    <w:basedOn w:val="Normal"/>
    <w:rsid w:val="0003375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sz w:val="18"/>
      <w:szCs w:val="18"/>
    </w:rPr>
  </w:style>
  <w:style w:type="paragraph" w:customStyle="1" w:styleId="xl91">
    <w:name w:val="xl91"/>
    <w:basedOn w:val="Normal"/>
    <w:rsid w:val="0003375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18"/>
      <w:szCs w:val="18"/>
    </w:rPr>
  </w:style>
  <w:style w:type="paragraph" w:customStyle="1" w:styleId="xl92">
    <w:name w:val="xl92"/>
    <w:basedOn w:val="Normal"/>
    <w:rsid w:val="0003375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sz w:val="18"/>
      <w:szCs w:val="18"/>
    </w:rPr>
  </w:style>
  <w:style w:type="paragraph" w:customStyle="1" w:styleId="xl93">
    <w:name w:val="xl93"/>
    <w:basedOn w:val="Normal"/>
    <w:rsid w:val="00033751"/>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pPr>
    <w:rPr>
      <w:rFonts w:ascii="Times New Roman" w:eastAsia="Times New Roman" w:hAnsi="Times New Roman"/>
      <w:sz w:val="18"/>
      <w:szCs w:val="18"/>
    </w:rPr>
  </w:style>
  <w:style w:type="paragraph" w:customStyle="1" w:styleId="xl94">
    <w:name w:val="xl94"/>
    <w:basedOn w:val="Normal"/>
    <w:rsid w:val="00033751"/>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18"/>
      <w:szCs w:val="18"/>
    </w:rPr>
  </w:style>
  <w:style w:type="paragraph" w:styleId="Header">
    <w:name w:val="header"/>
    <w:basedOn w:val="Normal"/>
    <w:link w:val="HeaderChar"/>
    <w:uiPriority w:val="99"/>
    <w:unhideWhenUsed/>
    <w:rsid w:val="00033751"/>
    <w:pPr>
      <w:tabs>
        <w:tab w:val="center" w:pos="4680"/>
        <w:tab w:val="right" w:pos="9360"/>
      </w:tabs>
    </w:pPr>
  </w:style>
  <w:style w:type="character" w:customStyle="1" w:styleId="HeaderChar">
    <w:name w:val="Header Char"/>
    <w:link w:val="Header"/>
    <w:uiPriority w:val="99"/>
    <w:rsid w:val="00033751"/>
    <w:rPr>
      <w:sz w:val="22"/>
      <w:szCs w:val="22"/>
    </w:rPr>
  </w:style>
  <w:style w:type="paragraph" w:styleId="Footer">
    <w:name w:val="footer"/>
    <w:basedOn w:val="Normal"/>
    <w:link w:val="FooterChar"/>
    <w:uiPriority w:val="99"/>
    <w:unhideWhenUsed/>
    <w:rsid w:val="00033751"/>
    <w:pPr>
      <w:tabs>
        <w:tab w:val="center" w:pos="4680"/>
        <w:tab w:val="right" w:pos="9360"/>
      </w:tabs>
    </w:pPr>
  </w:style>
  <w:style w:type="character" w:customStyle="1" w:styleId="FooterChar">
    <w:name w:val="Footer Char"/>
    <w:link w:val="Footer"/>
    <w:uiPriority w:val="99"/>
    <w:rsid w:val="00033751"/>
    <w:rPr>
      <w:sz w:val="22"/>
      <w:szCs w:val="22"/>
    </w:rPr>
  </w:style>
  <w:style w:type="paragraph" w:styleId="BalloonText">
    <w:name w:val="Balloon Text"/>
    <w:basedOn w:val="Normal"/>
    <w:link w:val="BalloonTextChar"/>
    <w:uiPriority w:val="99"/>
    <w:semiHidden/>
    <w:unhideWhenUsed/>
    <w:rsid w:val="003A1F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A1FA9"/>
    <w:rPr>
      <w:rFonts w:ascii="Tahoma" w:hAnsi="Tahoma" w:cs="Tahoma"/>
      <w:sz w:val="16"/>
      <w:szCs w:val="16"/>
    </w:rPr>
  </w:style>
  <w:style w:type="paragraph" w:styleId="NoSpacing">
    <w:name w:val="No Spacing"/>
    <w:link w:val="NoSpacingChar"/>
    <w:uiPriority w:val="1"/>
    <w:qFormat/>
    <w:rsid w:val="0029002A"/>
    <w:rPr>
      <w:rFonts w:eastAsia="MS Mincho" w:cs="Arial"/>
      <w:sz w:val="22"/>
      <w:szCs w:val="22"/>
      <w:lang w:eastAsia="ja-JP"/>
    </w:rPr>
  </w:style>
  <w:style w:type="character" w:customStyle="1" w:styleId="NoSpacingChar">
    <w:name w:val="No Spacing Char"/>
    <w:link w:val="NoSpacing"/>
    <w:uiPriority w:val="1"/>
    <w:rsid w:val="0029002A"/>
    <w:rPr>
      <w:rFonts w:eastAsia="MS Mincho" w:cs="Arial"/>
      <w:sz w:val="22"/>
      <w:szCs w:val="22"/>
      <w:lang w:eastAsia="ja-JP"/>
    </w:rPr>
  </w:style>
  <w:style w:type="paragraph" w:customStyle="1" w:styleId="EFFC734A8F37410CABFBE90833BB3C93">
    <w:name w:val="EFFC734A8F37410CABFBE90833BB3C93"/>
    <w:rsid w:val="00494674"/>
    <w:pPr>
      <w:spacing w:after="200" w:line="276" w:lineRule="auto"/>
    </w:pPr>
    <w:rPr>
      <w:rFonts w:eastAsia="MS Mincho" w:cs="Arial"/>
      <w:sz w:val="22"/>
      <w:szCs w:val="22"/>
      <w:lang w:eastAsia="ja-JP"/>
    </w:rPr>
  </w:style>
  <w:style w:type="character" w:customStyle="1" w:styleId="Heading1Char">
    <w:name w:val="Heading 1 Char"/>
    <w:link w:val="Heading1"/>
    <w:uiPriority w:val="9"/>
    <w:rsid w:val="002131C5"/>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131C5"/>
    <w:pPr>
      <w:keepLines/>
      <w:spacing w:before="480" w:after="0"/>
      <w:outlineLvl w:val="9"/>
    </w:pPr>
    <w:rPr>
      <w:color w:val="365F91"/>
      <w:kern w:val="0"/>
      <w:sz w:val="28"/>
      <w:szCs w:val="28"/>
      <w:lang w:eastAsia="ja-JP"/>
    </w:rPr>
  </w:style>
  <w:style w:type="paragraph" w:styleId="TOC2">
    <w:name w:val="toc 2"/>
    <w:basedOn w:val="Normal"/>
    <w:next w:val="Normal"/>
    <w:autoRedefine/>
    <w:uiPriority w:val="39"/>
    <w:semiHidden/>
    <w:unhideWhenUsed/>
    <w:qFormat/>
    <w:rsid w:val="002131C5"/>
    <w:pPr>
      <w:spacing w:after="100"/>
      <w:ind w:left="220"/>
    </w:pPr>
    <w:rPr>
      <w:rFonts w:eastAsia="MS Mincho" w:cs="Arial"/>
      <w:lang w:eastAsia="ja-JP"/>
    </w:rPr>
  </w:style>
  <w:style w:type="paragraph" w:styleId="TOC1">
    <w:name w:val="toc 1"/>
    <w:basedOn w:val="Normal"/>
    <w:next w:val="Normal"/>
    <w:autoRedefine/>
    <w:uiPriority w:val="39"/>
    <w:unhideWhenUsed/>
    <w:qFormat/>
    <w:rsid w:val="002131C5"/>
    <w:pPr>
      <w:spacing w:after="100"/>
    </w:pPr>
    <w:rPr>
      <w:rFonts w:eastAsia="MS Mincho" w:cs="Arial"/>
      <w:lang w:eastAsia="ja-JP"/>
    </w:rPr>
  </w:style>
  <w:style w:type="paragraph" w:styleId="TOC3">
    <w:name w:val="toc 3"/>
    <w:basedOn w:val="Normal"/>
    <w:next w:val="Normal"/>
    <w:autoRedefine/>
    <w:uiPriority w:val="39"/>
    <w:semiHidden/>
    <w:unhideWhenUsed/>
    <w:qFormat/>
    <w:rsid w:val="002131C5"/>
    <w:pPr>
      <w:spacing w:after="100"/>
      <w:ind w:left="440"/>
    </w:pPr>
    <w:rPr>
      <w:rFonts w:eastAsia="MS Mincho" w:cs="Arial"/>
      <w:lang w:eastAsia="ja-JP"/>
    </w:rPr>
  </w:style>
  <w:style w:type="character" w:customStyle="1" w:styleId="ui-provider">
    <w:name w:val="ui-provider"/>
    <w:basedOn w:val="DefaultParagraphFont"/>
    <w:rsid w:val="00036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90571">
      <w:bodyDiv w:val="1"/>
      <w:marLeft w:val="0"/>
      <w:marRight w:val="0"/>
      <w:marTop w:val="0"/>
      <w:marBottom w:val="0"/>
      <w:divBdr>
        <w:top w:val="none" w:sz="0" w:space="0" w:color="auto"/>
        <w:left w:val="none" w:sz="0" w:space="0" w:color="auto"/>
        <w:bottom w:val="none" w:sz="0" w:space="0" w:color="auto"/>
        <w:right w:val="none" w:sz="0" w:space="0" w:color="auto"/>
      </w:divBdr>
    </w:div>
    <w:div w:id="155876241">
      <w:bodyDiv w:val="1"/>
      <w:marLeft w:val="0"/>
      <w:marRight w:val="0"/>
      <w:marTop w:val="0"/>
      <w:marBottom w:val="0"/>
      <w:divBdr>
        <w:top w:val="none" w:sz="0" w:space="0" w:color="auto"/>
        <w:left w:val="none" w:sz="0" w:space="0" w:color="auto"/>
        <w:bottom w:val="none" w:sz="0" w:space="0" w:color="auto"/>
        <w:right w:val="none" w:sz="0" w:space="0" w:color="auto"/>
      </w:divBdr>
    </w:div>
    <w:div w:id="244843445">
      <w:bodyDiv w:val="1"/>
      <w:marLeft w:val="0"/>
      <w:marRight w:val="0"/>
      <w:marTop w:val="0"/>
      <w:marBottom w:val="0"/>
      <w:divBdr>
        <w:top w:val="none" w:sz="0" w:space="0" w:color="auto"/>
        <w:left w:val="none" w:sz="0" w:space="0" w:color="auto"/>
        <w:bottom w:val="none" w:sz="0" w:space="0" w:color="auto"/>
        <w:right w:val="none" w:sz="0" w:space="0" w:color="auto"/>
      </w:divBdr>
    </w:div>
    <w:div w:id="296305330">
      <w:bodyDiv w:val="1"/>
      <w:marLeft w:val="0"/>
      <w:marRight w:val="0"/>
      <w:marTop w:val="0"/>
      <w:marBottom w:val="0"/>
      <w:divBdr>
        <w:top w:val="none" w:sz="0" w:space="0" w:color="auto"/>
        <w:left w:val="none" w:sz="0" w:space="0" w:color="auto"/>
        <w:bottom w:val="none" w:sz="0" w:space="0" w:color="auto"/>
        <w:right w:val="none" w:sz="0" w:space="0" w:color="auto"/>
      </w:divBdr>
    </w:div>
    <w:div w:id="310596355">
      <w:bodyDiv w:val="1"/>
      <w:marLeft w:val="0"/>
      <w:marRight w:val="0"/>
      <w:marTop w:val="0"/>
      <w:marBottom w:val="0"/>
      <w:divBdr>
        <w:top w:val="none" w:sz="0" w:space="0" w:color="auto"/>
        <w:left w:val="none" w:sz="0" w:space="0" w:color="auto"/>
        <w:bottom w:val="none" w:sz="0" w:space="0" w:color="auto"/>
        <w:right w:val="none" w:sz="0" w:space="0" w:color="auto"/>
      </w:divBdr>
    </w:div>
    <w:div w:id="417336973">
      <w:bodyDiv w:val="1"/>
      <w:marLeft w:val="0"/>
      <w:marRight w:val="0"/>
      <w:marTop w:val="0"/>
      <w:marBottom w:val="0"/>
      <w:divBdr>
        <w:top w:val="none" w:sz="0" w:space="0" w:color="auto"/>
        <w:left w:val="none" w:sz="0" w:space="0" w:color="auto"/>
        <w:bottom w:val="none" w:sz="0" w:space="0" w:color="auto"/>
        <w:right w:val="none" w:sz="0" w:space="0" w:color="auto"/>
      </w:divBdr>
    </w:div>
    <w:div w:id="487862268">
      <w:bodyDiv w:val="1"/>
      <w:marLeft w:val="0"/>
      <w:marRight w:val="0"/>
      <w:marTop w:val="0"/>
      <w:marBottom w:val="0"/>
      <w:divBdr>
        <w:top w:val="none" w:sz="0" w:space="0" w:color="auto"/>
        <w:left w:val="none" w:sz="0" w:space="0" w:color="auto"/>
        <w:bottom w:val="none" w:sz="0" w:space="0" w:color="auto"/>
        <w:right w:val="none" w:sz="0" w:space="0" w:color="auto"/>
      </w:divBdr>
    </w:div>
    <w:div w:id="531847795">
      <w:bodyDiv w:val="1"/>
      <w:marLeft w:val="0"/>
      <w:marRight w:val="0"/>
      <w:marTop w:val="0"/>
      <w:marBottom w:val="0"/>
      <w:divBdr>
        <w:top w:val="none" w:sz="0" w:space="0" w:color="auto"/>
        <w:left w:val="none" w:sz="0" w:space="0" w:color="auto"/>
        <w:bottom w:val="none" w:sz="0" w:space="0" w:color="auto"/>
        <w:right w:val="none" w:sz="0" w:space="0" w:color="auto"/>
      </w:divBdr>
    </w:div>
    <w:div w:id="566190094">
      <w:bodyDiv w:val="1"/>
      <w:marLeft w:val="0"/>
      <w:marRight w:val="0"/>
      <w:marTop w:val="0"/>
      <w:marBottom w:val="0"/>
      <w:divBdr>
        <w:top w:val="none" w:sz="0" w:space="0" w:color="auto"/>
        <w:left w:val="none" w:sz="0" w:space="0" w:color="auto"/>
        <w:bottom w:val="none" w:sz="0" w:space="0" w:color="auto"/>
        <w:right w:val="none" w:sz="0" w:space="0" w:color="auto"/>
      </w:divBdr>
    </w:div>
    <w:div w:id="575356694">
      <w:bodyDiv w:val="1"/>
      <w:marLeft w:val="0"/>
      <w:marRight w:val="0"/>
      <w:marTop w:val="0"/>
      <w:marBottom w:val="0"/>
      <w:divBdr>
        <w:top w:val="none" w:sz="0" w:space="0" w:color="auto"/>
        <w:left w:val="none" w:sz="0" w:space="0" w:color="auto"/>
        <w:bottom w:val="none" w:sz="0" w:space="0" w:color="auto"/>
        <w:right w:val="none" w:sz="0" w:space="0" w:color="auto"/>
      </w:divBdr>
    </w:div>
    <w:div w:id="619342599">
      <w:bodyDiv w:val="1"/>
      <w:marLeft w:val="0"/>
      <w:marRight w:val="0"/>
      <w:marTop w:val="0"/>
      <w:marBottom w:val="0"/>
      <w:divBdr>
        <w:top w:val="none" w:sz="0" w:space="0" w:color="auto"/>
        <w:left w:val="none" w:sz="0" w:space="0" w:color="auto"/>
        <w:bottom w:val="none" w:sz="0" w:space="0" w:color="auto"/>
        <w:right w:val="none" w:sz="0" w:space="0" w:color="auto"/>
      </w:divBdr>
    </w:div>
    <w:div w:id="623384181">
      <w:bodyDiv w:val="1"/>
      <w:marLeft w:val="0"/>
      <w:marRight w:val="0"/>
      <w:marTop w:val="0"/>
      <w:marBottom w:val="0"/>
      <w:divBdr>
        <w:top w:val="none" w:sz="0" w:space="0" w:color="auto"/>
        <w:left w:val="none" w:sz="0" w:space="0" w:color="auto"/>
        <w:bottom w:val="none" w:sz="0" w:space="0" w:color="auto"/>
        <w:right w:val="none" w:sz="0" w:space="0" w:color="auto"/>
      </w:divBdr>
    </w:div>
    <w:div w:id="667828892">
      <w:bodyDiv w:val="1"/>
      <w:marLeft w:val="0"/>
      <w:marRight w:val="0"/>
      <w:marTop w:val="0"/>
      <w:marBottom w:val="0"/>
      <w:divBdr>
        <w:top w:val="none" w:sz="0" w:space="0" w:color="auto"/>
        <w:left w:val="none" w:sz="0" w:space="0" w:color="auto"/>
        <w:bottom w:val="none" w:sz="0" w:space="0" w:color="auto"/>
        <w:right w:val="none" w:sz="0" w:space="0" w:color="auto"/>
      </w:divBdr>
    </w:div>
    <w:div w:id="707800218">
      <w:bodyDiv w:val="1"/>
      <w:marLeft w:val="0"/>
      <w:marRight w:val="0"/>
      <w:marTop w:val="0"/>
      <w:marBottom w:val="0"/>
      <w:divBdr>
        <w:top w:val="none" w:sz="0" w:space="0" w:color="auto"/>
        <w:left w:val="none" w:sz="0" w:space="0" w:color="auto"/>
        <w:bottom w:val="none" w:sz="0" w:space="0" w:color="auto"/>
        <w:right w:val="none" w:sz="0" w:space="0" w:color="auto"/>
      </w:divBdr>
    </w:div>
    <w:div w:id="890574675">
      <w:bodyDiv w:val="1"/>
      <w:marLeft w:val="0"/>
      <w:marRight w:val="0"/>
      <w:marTop w:val="0"/>
      <w:marBottom w:val="0"/>
      <w:divBdr>
        <w:top w:val="none" w:sz="0" w:space="0" w:color="auto"/>
        <w:left w:val="none" w:sz="0" w:space="0" w:color="auto"/>
        <w:bottom w:val="none" w:sz="0" w:space="0" w:color="auto"/>
        <w:right w:val="none" w:sz="0" w:space="0" w:color="auto"/>
      </w:divBdr>
    </w:div>
    <w:div w:id="1074552870">
      <w:bodyDiv w:val="1"/>
      <w:marLeft w:val="0"/>
      <w:marRight w:val="0"/>
      <w:marTop w:val="0"/>
      <w:marBottom w:val="0"/>
      <w:divBdr>
        <w:top w:val="none" w:sz="0" w:space="0" w:color="auto"/>
        <w:left w:val="none" w:sz="0" w:space="0" w:color="auto"/>
        <w:bottom w:val="none" w:sz="0" w:space="0" w:color="auto"/>
        <w:right w:val="none" w:sz="0" w:space="0" w:color="auto"/>
      </w:divBdr>
    </w:div>
    <w:div w:id="1214005988">
      <w:bodyDiv w:val="1"/>
      <w:marLeft w:val="0"/>
      <w:marRight w:val="0"/>
      <w:marTop w:val="0"/>
      <w:marBottom w:val="0"/>
      <w:divBdr>
        <w:top w:val="none" w:sz="0" w:space="0" w:color="auto"/>
        <w:left w:val="none" w:sz="0" w:space="0" w:color="auto"/>
        <w:bottom w:val="none" w:sz="0" w:space="0" w:color="auto"/>
        <w:right w:val="none" w:sz="0" w:space="0" w:color="auto"/>
      </w:divBdr>
    </w:div>
    <w:div w:id="1303193761">
      <w:bodyDiv w:val="1"/>
      <w:marLeft w:val="0"/>
      <w:marRight w:val="0"/>
      <w:marTop w:val="0"/>
      <w:marBottom w:val="0"/>
      <w:divBdr>
        <w:top w:val="none" w:sz="0" w:space="0" w:color="auto"/>
        <w:left w:val="none" w:sz="0" w:space="0" w:color="auto"/>
        <w:bottom w:val="none" w:sz="0" w:space="0" w:color="auto"/>
        <w:right w:val="none" w:sz="0" w:space="0" w:color="auto"/>
      </w:divBdr>
    </w:div>
    <w:div w:id="1309242507">
      <w:bodyDiv w:val="1"/>
      <w:marLeft w:val="0"/>
      <w:marRight w:val="0"/>
      <w:marTop w:val="0"/>
      <w:marBottom w:val="0"/>
      <w:divBdr>
        <w:top w:val="none" w:sz="0" w:space="0" w:color="auto"/>
        <w:left w:val="none" w:sz="0" w:space="0" w:color="auto"/>
        <w:bottom w:val="none" w:sz="0" w:space="0" w:color="auto"/>
        <w:right w:val="none" w:sz="0" w:space="0" w:color="auto"/>
      </w:divBdr>
    </w:div>
    <w:div w:id="1367296985">
      <w:bodyDiv w:val="1"/>
      <w:marLeft w:val="0"/>
      <w:marRight w:val="0"/>
      <w:marTop w:val="0"/>
      <w:marBottom w:val="0"/>
      <w:divBdr>
        <w:top w:val="none" w:sz="0" w:space="0" w:color="auto"/>
        <w:left w:val="none" w:sz="0" w:space="0" w:color="auto"/>
        <w:bottom w:val="none" w:sz="0" w:space="0" w:color="auto"/>
        <w:right w:val="none" w:sz="0" w:space="0" w:color="auto"/>
      </w:divBdr>
    </w:div>
    <w:div w:id="1383627271">
      <w:bodyDiv w:val="1"/>
      <w:marLeft w:val="0"/>
      <w:marRight w:val="0"/>
      <w:marTop w:val="0"/>
      <w:marBottom w:val="0"/>
      <w:divBdr>
        <w:top w:val="none" w:sz="0" w:space="0" w:color="auto"/>
        <w:left w:val="none" w:sz="0" w:space="0" w:color="auto"/>
        <w:bottom w:val="none" w:sz="0" w:space="0" w:color="auto"/>
        <w:right w:val="none" w:sz="0" w:space="0" w:color="auto"/>
      </w:divBdr>
    </w:div>
    <w:div w:id="1385524817">
      <w:bodyDiv w:val="1"/>
      <w:marLeft w:val="0"/>
      <w:marRight w:val="0"/>
      <w:marTop w:val="0"/>
      <w:marBottom w:val="0"/>
      <w:divBdr>
        <w:top w:val="none" w:sz="0" w:space="0" w:color="auto"/>
        <w:left w:val="none" w:sz="0" w:space="0" w:color="auto"/>
        <w:bottom w:val="none" w:sz="0" w:space="0" w:color="auto"/>
        <w:right w:val="none" w:sz="0" w:space="0" w:color="auto"/>
      </w:divBdr>
    </w:div>
    <w:div w:id="1387535566">
      <w:bodyDiv w:val="1"/>
      <w:marLeft w:val="0"/>
      <w:marRight w:val="0"/>
      <w:marTop w:val="0"/>
      <w:marBottom w:val="0"/>
      <w:divBdr>
        <w:top w:val="none" w:sz="0" w:space="0" w:color="auto"/>
        <w:left w:val="none" w:sz="0" w:space="0" w:color="auto"/>
        <w:bottom w:val="none" w:sz="0" w:space="0" w:color="auto"/>
        <w:right w:val="none" w:sz="0" w:space="0" w:color="auto"/>
      </w:divBdr>
    </w:div>
    <w:div w:id="1516769280">
      <w:bodyDiv w:val="1"/>
      <w:marLeft w:val="0"/>
      <w:marRight w:val="0"/>
      <w:marTop w:val="0"/>
      <w:marBottom w:val="0"/>
      <w:divBdr>
        <w:top w:val="none" w:sz="0" w:space="0" w:color="auto"/>
        <w:left w:val="none" w:sz="0" w:space="0" w:color="auto"/>
        <w:bottom w:val="none" w:sz="0" w:space="0" w:color="auto"/>
        <w:right w:val="none" w:sz="0" w:space="0" w:color="auto"/>
      </w:divBdr>
    </w:div>
    <w:div w:id="1521892548">
      <w:bodyDiv w:val="1"/>
      <w:marLeft w:val="0"/>
      <w:marRight w:val="0"/>
      <w:marTop w:val="0"/>
      <w:marBottom w:val="0"/>
      <w:divBdr>
        <w:top w:val="none" w:sz="0" w:space="0" w:color="auto"/>
        <w:left w:val="none" w:sz="0" w:space="0" w:color="auto"/>
        <w:bottom w:val="none" w:sz="0" w:space="0" w:color="auto"/>
        <w:right w:val="none" w:sz="0" w:space="0" w:color="auto"/>
      </w:divBdr>
    </w:div>
    <w:div w:id="1552841834">
      <w:bodyDiv w:val="1"/>
      <w:marLeft w:val="0"/>
      <w:marRight w:val="0"/>
      <w:marTop w:val="0"/>
      <w:marBottom w:val="0"/>
      <w:divBdr>
        <w:top w:val="none" w:sz="0" w:space="0" w:color="auto"/>
        <w:left w:val="none" w:sz="0" w:space="0" w:color="auto"/>
        <w:bottom w:val="none" w:sz="0" w:space="0" w:color="auto"/>
        <w:right w:val="none" w:sz="0" w:space="0" w:color="auto"/>
      </w:divBdr>
    </w:div>
    <w:div w:id="1619098199">
      <w:bodyDiv w:val="1"/>
      <w:marLeft w:val="0"/>
      <w:marRight w:val="0"/>
      <w:marTop w:val="0"/>
      <w:marBottom w:val="0"/>
      <w:divBdr>
        <w:top w:val="none" w:sz="0" w:space="0" w:color="auto"/>
        <w:left w:val="none" w:sz="0" w:space="0" w:color="auto"/>
        <w:bottom w:val="none" w:sz="0" w:space="0" w:color="auto"/>
        <w:right w:val="none" w:sz="0" w:space="0" w:color="auto"/>
      </w:divBdr>
    </w:div>
    <w:div w:id="1665738477">
      <w:bodyDiv w:val="1"/>
      <w:marLeft w:val="0"/>
      <w:marRight w:val="0"/>
      <w:marTop w:val="0"/>
      <w:marBottom w:val="0"/>
      <w:divBdr>
        <w:top w:val="none" w:sz="0" w:space="0" w:color="auto"/>
        <w:left w:val="none" w:sz="0" w:space="0" w:color="auto"/>
        <w:bottom w:val="none" w:sz="0" w:space="0" w:color="auto"/>
        <w:right w:val="none" w:sz="0" w:space="0" w:color="auto"/>
      </w:divBdr>
    </w:div>
    <w:div w:id="1754357813">
      <w:bodyDiv w:val="1"/>
      <w:marLeft w:val="0"/>
      <w:marRight w:val="0"/>
      <w:marTop w:val="0"/>
      <w:marBottom w:val="0"/>
      <w:divBdr>
        <w:top w:val="none" w:sz="0" w:space="0" w:color="auto"/>
        <w:left w:val="none" w:sz="0" w:space="0" w:color="auto"/>
        <w:bottom w:val="none" w:sz="0" w:space="0" w:color="auto"/>
        <w:right w:val="none" w:sz="0" w:space="0" w:color="auto"/>
      </w:divBdr>
    </w:div>
    <w:div w:id="1803422703">
      <w:bodyDiv w:val="1"/>
      <w:marLeft w:val="0"/>
      <w:marRight w:val="0"/>
      <w:marTop w:val="0"/>
      <w:marBottom w:val="0"/>
      <w:divBdr>
        <w:top w:val="none" w:sz="0" w:space="0" w:color="auto"/>
        <w:left w:val="none" w:sz="0" w:space="0" w:color="auto"/>
        <w:bottom w:val="none" w:sz="0" w:space="0" w:color="auto"/>
        <w:right w:val="none" w:sz="0" w:space="0" w:color="auto"/>
      </w:divBdr>
    </w:div>
    <w:div w:id="1916166138">
      <w:bodyDiv w:val="1"/>
      <w:marLeft w:val="0"/>
      <w:marRight w:val="0"/>
      <w:marTop w:val="0"/>
      <w:marBottom w:val="0"/>
      <w:divBdr>
        <w:top w:val="none" w:sz="0" w:space="0" w:color="auto"/>
        <w:left w:val="none" w:sz="0" w:space="0" w:color="auto"/>
        <w:bottom w:val="none" w:sz="0" w:space="0" w:color="auto"/>
        <w:right w:val="none" w:sz="0" w:space="0" w:color="auto"/>
      </w:divBdr>
    </w:div>
    <w:div w:id="1918129416">
      <w:bodyDiv w:val="1"/>
      <w:marLeft w:val="0"/>
      <w:marRight w:val="0"/>
      <w:marTop w:val="0"/>
      <w:marBottom w:val="0"/>
      <w:divBdr>
        <w:top w:val="none" w:sz="0" w:space="0" w:color="auto"/>
        <w:left w:val="none" w:sz="0" w:space="0" w:color="auto"/>
        <w:bottom w:val="none" w:sz="0" w:space="0" w:color="auto"/>
        <w:right w:val="none" w:sz="0" w:space="0" w:color="auto"/>
      </w:divBdr>
    </w:div>
    <w:div w:id="1960404760">
      <w:bodyDiv w:val="1"/>
      <w:marLeft w:val="0"/>
      <w:marRight w:val="0"/>
      <w:marTop w:val="0"/>
      <w:marBottom w:val="0"/>
      <w:divBdr>
        <w:top w:val="none" w:sz="0" w:space="0" w:color="auto"/>
        <w:left w:val="none" w:sz="0" w:space="0" w:color="auto"/>
        <w:bottom w:val="none" w:sz="0" w:space="0" w:color="auto"/>
        <w:right w:val="none" w:sz="0" w:space="0" w:color="auto"/>
      </w:divBdr>
    </w:div>
    <w:div w:id="2069104866">
      <w:bodyDiv w:val="1"/>
      <w:marLeft w:val="0"/>
      <w:marRight w:val="0"/>
      <w:marTop w:val="0"/>
      <w:marBottom w:val="0"/>
      <w:divBdr>
        <w:top w:val="none" w:sz="0" w:space="0" w:color="auto"/>
        <w:left w:val="none" w:sz="0" w:space="0" w:color="auto"/>
        <w:bottom w:val="none" w:sz="0" w:space="0" w:color="auto"/>
        <w:right w:val="none" w:sz="0" w:space="0" w:color="auto"/>
      </w:divBdr>
    </w:div>
    <w:div w:id="2084452655">
      <w:bodyDiv w:val="1"/>
      <w:marLeft w:val="0"/>
      <w:marRight w:val="0"/>
      <w:marTop w:val="0"/>
      <w:marBottom w:val="0"/>
      <w:divBdr>
        <w:top w:val="none" w:sz="0" w:space="0" w:color="auto"/>
        <w:left w:val="none" w:sz="0" w:space="0" w:color="auto"/>
        <w:bottom w:val="none" w:sz="0" w:space="0" w:color="auto"/>
        <w:right w:val="none" w:sz="0" w:space="0" w:color="auto"/>
      </w:divBdr>
    </w:div>
    <w:div w:id="2096127629">
      <w:bodyDiv w:val="1"/>
      <w:marLeft w:val="0"/>
      <w:marRight w:val="0"/>
      <w:marTop w:val="0"/>
      <w:marBottom w:val="0"/>
      <w:divBdr>
        <w:top w:val="none" w:sz="0" w:space="0" w:color="auto"/>
        <w:left w:val="none" w:sz="0" w:space="0" w:color="auto"/>
        <w:bottom w:val="none" w:sz="0" w:space="0" w:color="auto"/>
        <w:right w:val="none" w:sz="0" w:space="0" w:color="auto"/>
      </w:divBdr>
    </w:div>
    <w:div w:id="212353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5C630F3FEA4265A13AC05D9303EF05"/>
        <w:category>
          <w:name w:val="General"/>
          <w:gallery w:val="placeholder"/>
        </w:category>
        <w:types>
          <w:type w:val="bbPlcHdr"/>
        </w:types>
        <w:behaviors>
          <w:behavior w:val="content"/>
        </w:behaviors>
        <w:guid w:val="{F5AAE05A-13B3-4ECA-9D95-19B04777594B}"/>
      </w:docPartPr>
      <w:docPartBody>
        <w:p w:rsidR="00D53C0B" w:rsidRDefault="0010221D" w:rsidP="0010221D">
          <w:pPr>
            <w:pStyle w:val="E95C630F3FEA4265A13AC05D9303EF05"/>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21D"/>
    <w:rsid w:val="0009432A"/>
    <w:rsid w:val="0010221D"/>
    <w:rsid w:val="0010296A"/>
    <w:rsid w:val="00140DE7"/>
    <w:rsid w:val="001F3B23"/>
    <w:rsid w:val="00287838"/>
    <w:rsid w:val="002F1140"/>
    <w:rsid w:val="00366C93"/>
    <w:rsid w:val="003F6991"/>
    <w:rsid w:val="00443104"/>
    <w:rsid w:val="004B0AB1"/>
    <w:rsid w:val="0058670C"/>
    <w:rsid w:val="008927EE"/>
    <w:rsid w:val="008B194D"/>
    <w:rsid w:val="00982787"/>
    <w:rsid w:val="00B91EF8"/>
    <w:rsid w:val="00C675AA"/>
    <w:rsid w:val="00D53C0B"/>
    <w:rsid w:val="00DA733E"/>
    <w:rsid w:val="00DF6884"/>
    <w:rsid w:val="00F42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221D"/>
    <w:rPr>
      <w:color w:val="808080"/>
    </w:rPr>
  </w:style>
  <w:style w:type="paragraph" w:customStyle="1" w:styleId="E95C630F3FEA4265A13AC05D9303EF05">
    <w:name w:val="E95C630F3FEA4265A13AC05D9303EF05"/>
    <w:rsid w:val="00102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2013-05-01T00:00:00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KDE Document" ma:contentTypeID="0x0101001BEB557DBE01834EAB47A683706DCD5B0098CCB8009BD468408BA481E35E0A1E15" ma:contentTypeVersion="28" ma:contentTypeDescription="" ma:contentTypeScope="" ma:versionID="cb0ad8f32f1cd8affc4bcf458d723653">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8fc931e4a692a694fa2a9c92032455a8"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fiscalYear"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fiscalYear" ma:index="25" nillable="true" ma:displayName="Fiscal Year" ma:default="2018-2019" ma:format="Dropdown" ma:internalName="fiscalYear">
      <xsd:simpleType>
        <xsd:restriction base="dms:Choice">
          <xsd:enumeration value="2001-2002"/>
          <xsd:enumeration value="2002-2003"/>
          <xsd:enumeration value="2003-2004"/>
          <xsd:enumeration value="2004-2005"/>
          <xsd:enumeration value="2005-2006"/>
          <xsd:enumeration value="2006-2007"/>
          <xsd:enumeration value="2007-2008"/>
          <xsd:enumeration value="2008-2009"/>
          <xsd:enumeration value="2009-2010"/>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enumeration value="2027-2028"/>
          <xsd:enumeration value="2028-2029"/>
          <xsd:enumeration value="2029-2030"/>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7"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2024-03-13T04:00:00+00:00</Publication_x0020_Date>
    <Audience1 xmlns="3a62de7d-ba57-4f43-9dae-9623ba637be0"/>
    <fiscalYear xmlns="3a62de7d-ba57-4f43-9dae-9623ba637be0">2023-2024</fiscalYear>
    <Accessibility_x0020_Office xmlns="3a62de7d-ba57-4f43-9dae-9623ba637be0">OFO - Office of Finance and Operations</Accessibility_x0020_Office>
    <Accessibility_x0020_Audit_x0020_Status xmlns="3a62de7d-ba57-4f43-9dae-9623ba637be0">OK</Accessibility_x0020_Audit_x0020_Status>
    <Accessibility_x0020_Audience xmlns="3a62de7d-ba57-4f43-9dae-9623ba637be0">Public</Accessibility_x0020_Audienc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_dlc_DocId xmlns="3a62de7d-ba57-4f43-9dae-9623ba637be0">KYED-110-721</_dlc_DocId>
    <_dlc_DocIdUrl xmlns="3a62de7d-ba57-4f43-9dae-9623ba637be0">
      <Url>https://education-edit.ky.gov/districts/SEEK/_layouts/15/DocIdRedir.aspx?ID=KYED-110-721</Url>
      <Description>KYED-110-721</Description>
    </_dlc_DocIdUrl>
    <Content_x0020_Review_x0020_Status xmlns="3a62de7d-ba57-4f43-9dae-9623ba637be0"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4038C2-845E-4092-AC8D-68FAAEEF48A6}">
  <ds:schemaRefs>
    <ds:schemaRef ds:uri="http://schemas.microsoft.com/sharepoint/events"/>
  </ds:schemaRefs>
</ds:datastoreItem>
</file>

<file path=customXml/itemProps3.xml><?xml version="1.0" encoding="utf-8"?>
<ds:datastoreItem xmlns:ds="http://schemas.openxmlformats.org/officeDocument/2006/customXml" ds:itemID="{B1D910D1-7BD7-4AAB-914F-A94F87EBD175}">
  <ds:schemaRefs>
    <ds:schemaRef ds:uri="http://schemas.microsoft.com/office/2006/metadata/longProperties"/>
  </ds:schemaRefs>
</ds:datastoreItem>
</file>

<file path=customXml/itemProps4.xml><?xml version="1.0" encoding="utf-8"?>
<ds:datastoreItem xmlns:ds="http://schemas.openxmlformats.org/officeDocument/2006/customXml" ds:itemID="{0987760A-FE3D-4A37-98CC-322E5E9279EC}"/>
</file>

<file path=customXml/itemProps5.xml><?xml version="1.0" encoding="utf-8"?>
<ds:datastoreItem xmlns:ds="http://schemas.openxmlformats.org/officeDocument/2006/customXml" ds:itemID="{4B84334C-EF69-4AC0-AE2A-0066D0D19A0E}">
  <ds:schemaRefs>
    <ds:schemaRef ds:uri="http://schemas.microsoft.com/office/2006/metadata/properties"/>
    <ds:schemaRef ds:uri="http://schemas.microsoft.com/office/infopath/2007/PartnerControls"/>
    <ds:schemaRef ds:uri="http://schemas.microsoft.com/sharepoint/v3"/>
    <ds:schemaRef ds:uri="3a62de7d-ba57-4f43-9dae-9623ba637be0"/>
  </ds:schemaRefs>
</ds:datastoreItem>
</file>

<file path=customXml/itemProps6.xml><?xml version="1.0" encoding="utf-8"?>
<ds:datastoreItem xmlns:ds="http://schemas.openxmlformats.org/officeDocument/2006/customXml" ds:itemID="{946B2C93-D661-4585-BDC1-8ADCD370B19C}">
  <ds:schemaRefs>
    <ds:schemaRef ds:uri="http://schemas.microsoft.com/sharepoint/v3/contenttype/forms"/>
  </ds:schemaRefs>
</ds:datastoreItem>
</file>

<file path=customXml/itemProps7.xml><?xml version="1.0" encoding="utf-8"?>
<ds:datastoreItem xmlns:ds="http://schemas.openxmlformats.org/officeDocument/2006/customXml" ds:itemID="{18EAEC96-82CC-4C13-9F6D-7F1847443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3204</Words>
  <Characters>18266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Nickel Facts</vt:lpstr>
    </vt:vector>
  </TitlesOfParts>
  <Company>Kentucky Department of Education                                                                      Division of District Support Services                                                                        District Funding &amp; Reporting Branch</Company>
  <LinksUpToDate>false</LinksUpToDate>
  <CharactersWithSpaces>21428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Nickel Facts - Updated March 2024</dc:title>
  <dc:subject>Updated May 2013</dc:subject>
  <dc:creator>Kentucky Department of Education  Division of District Support</dc:creator>
  <cp:keywords/>
  <dc:description/>
  <cp:lastModifiedBy>Tandy, Sarah - Division of District Support</cp:lastModifiedBy>
  <cp:revision>4</cp:revision>
  <cp:lastPrinted>2019-07-09T14:53:00Z</cp:lastPrinted>
  <dcterms:created xsi:type="dcterms:W3CDTF">2024-03-13T11:10:00Z</dcterms:created>
  <dcterms:modified xsi:type="dcterms:W3CDTF">2024-03-13T17:10:00Z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KYED-110-311</vt:lpwstr>
  </property>
  <property fmtid="{D5CDD505-2E9C-101B-9397-08002B2CF9AE}" pid="3" name="_dlc_DocIdItemGuid">
    <vt:lpwstr>bc3f66b6-ec8a-456c-bd23-ddd501dbb8e4</vt:lpwstr>
  </property>
  <property fmtid="{D5CDD505-2E9C-101B-9397-08002B2CF9AE}" pid="4" name="_dlc_DocIdUrl">
    <vt:lpwstr>https://education-edit.ky.gov/districts/SEEK/_layouts/DocIdRedir.aspx?ID=KYED-110-311, KYED-110-311</vt:lpwstr>
  </property>
  <property fmtid="{D5CDD505-2E9C-101B-9397-08002B2CF9AE}" pid="5" name="ContentTypeId">
    <vt:lpwstr>0x0101001BEB557DBE01834EAB47A683706DCD5B0098CCB8009BD468408BA481E35E0A1E15</vt:lpwstr>
  </property>
</Properties>
</file>