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D2C50" w14:textId="2D348A74" w:rsidR="00231775" w:rsidRPr="00231775" w:rsidRDefault="00231775" w:rsidP="00231775">
      <w:pPr>
        <w:keepNext/>
        <w:keepLines/>
        <w:spacing w:after="0" w:line="276" w:lineRule="auto"/>
        <w:jc w:val="center"/>
        <w:rPr>
          <w:rFonts w:ascii="Lato" w:eastAsia="Lato" w:hAnsi="Lato" w:cs="Lato"/>
          <w:color w:val="666666"/>
          <w:sz w:val="36"/>
          <w:szCs w:val="36"/>
          <w:lang w:val="en"/>
        </w:rPr>
      </w:pPr>
      <w:r w:rsidRPr="00231775">
        <w:rPr>
          <w:rFonts w:ascii="Lato" w:eastAsia="Lato" w:hAnsi="Lato" w:cs="Lato"/>
          <w:color w:val="666666"/>
          <w:sz w:val="36"/>
          <w:szCs w:val="36"/>
          <w:lang w:val="en"/>
        </w:rPr>
        <w:t xml:space="preserve">Math </w:t>
      </w:r>
      <w:r>
        <w:rPr>
          <w:rFonts w:ascii="Lato" w:eastAsia="Lato" w:hAnsi="Lato" w:cs="Lato"/>
          <w:color w:val="666666"/>
          <w:sz w:val="36"/>
          <w:szCs w:val="36"/>
          <w:lang w:val="en"/>
        </w:rPr>
        <w:t>Lesson</w:t>
      </w:r>
      <w:r w:rsidRPr="00231775">
        <w:rPr>
          <w:rFonts w:ascii="Lato" w:eastAsia="Lato" w:hAnsi="Lato" w:cs="Lato"/>
          <w:color w:val="666666"/>
          <w:sz w:val="36"/>
          <w:szCs w:val="36"/>
          <w:lang w:val="en"/>
        </w:rPr>
        <w:t xml:space="preserve"> Internalization Protocol Note-Catcher </w:t>
      </w:r>
    </w:p>
    <w:p w14:paraId="33C9EACE" w14:textId="77777777" w:rsidR="00231775" w:rsidRPr="00231775" w:rsidRDefault="00231775" w:rsidP="00231775">
      <w:pPr>
        <w:spacing w:after="0"/>
        <w:rPr>
          <w:lang w:val="en"/>
        </w:rPr>
      </w:pPr>
    </w:p>
    <w:p w14:paraId="6441B055" w14:textId="19CE1A60" w:rsidR="00231775" w:rsidRPr="00231775" w:rsidRDefault="00231775" w:rsidP="00231775">
      <w:r w:rsidRPr="180A42AD">
        <w:t xml:space="preserve">The note-catcher is intended to be used in conjunction with the </w:t>
      </w:r>
      <w:hyperlink r:id="rId10">
        <w:r w:rsidR="52E857BD" w:rsidRPr="180A42AD">
          <w:rPr>
            <w:rStyle w:val="Hyperlink"/>
          </w:rPr>
          <w:t>math</w:t>
        </w:r>
        <w:r w:rsidRPr="180A42AD">
          <w:rPr>
            <w:rStyle w:val="Hyperlink"/>
          </w:rPr>
          <w:t xml:space="preserve"> lesson internalization protocol</w:t>
        </w:r>
      </w:hyperlink>
      <w:r w:rsidRPr="180A42AD">
        <w:t xml:space="preserve"> document as a tool to capture thinking. For streamlining purposes, it does not contain all the content or guiding questions from the protocol. </w:t>
      </w:r>
    </w:p>
    <w:tbl>
      <w:tblPr>
        <w:tblW w:w="14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4490"/>
      </w:tblGrid>
      <w:tr w:rsidR="00231775" w:rsidRPr="00231775" w14:paraId="4A5FC2CB" w14:textId="77777777" w:rsidTr="00E87DD7">
        <w:tc>
          <w:tcPr>
            <w:tcW w:w="14490" w:type="dxa"/>
            <w:shd w:val="clear" w:color="auto" w:fill="1F3864" w:themeFill="accent1" w:themeFillShade="80"/>
            <w:tcMar>
              <w:top w:w="100" w:type="dxa"/>
              <w:left w:w="100" w:type="dxa"/>
              <w:bottom w:w="100" w:type="dxa"/>
              <w:right w:w="100" w:type="dxa"/>
            </w:tcMar>
          </w:tcPr>
          <w:p w14:paraId="4716A25E" w14:textId="60F84A7F" w:rsidR="00231775" w:rsidRPr="00231775" w:rsidRDefault="00231775" w:rsidP="00231775">
            <w:pPr>
              <w:jc w:val="center"/>
              <w:rPr>
                <w:b/>
                <w:color w:val="AC4F8D"/>
                <w:sz w:val="24"/>
                <w:szCs w:val="24"/>
              </w:rPr>
            </w:pPr>
            <w:r w:rsidRPr="00231775">
              <w:rPr>
                <w:b/>
                <w:color w:val="FFFFFF"/>
                <w:sz w:val="24"/>
                <w:szCs w:val="24"/>
              </w:rPr>
              <w:t xml:space="preserve">UNDERSTAND: </w:t>
            </w:r>
            <w:r w:rsidR="00A46CA6" w:rsidRPr="00A46CA6">
              <w:rPr>
                <w:b/>
                <w:color w:val="FFFFFF"/>
                <w:sz w:val="24"/>
                <w:szCs w:val="24"/>
              </w:rPr>
              <w:t>Internalize Lesson Notes and Complete Formative Task(s)</w:t>
            </w:r>
          </w:p>
        </w:tc>
      </w:tr>
    </w:tbl>
    <w:p w14:paraId="56C0CCFF" w14:textId="77777777" w:rsidR="00231775" w:rsidRPr="00231775" w:rsidRDefault="00231775" w:rsidP="00231775">
      <w:pPr>
        <w:spacing w:after="0"/>
        <w:rPr>
          <w:sz w:val="2"/>
          <w:szCs w:val="2"/>
          <w:lang w:val="en"/>
        </w:rPr>
      </w:pPr>
    </w:p>
    <w:tbl>
      <w:tblPr>
        <w:tblStyle w:val="TableGrid"/>
        <w:tblW w:w="14485" w:type="dxa"/>
        <w:tblLook w:val="04A0" w:firstRow="1" w:lastRow="0" w:firstColumn="1" w:lastColumn="0" w:noHBand="0" w:noVBand="1"/>
      </w:tblPr>
      <w:tblGrid>
        <w:gridCol w:w="3032"/>
        <w:gridCol w:w="11453"/>
      </w:tblGrid>
      <w:tr w:rsidR="006C6FD9" w:rsidRPr="00231775" w14:paraId="5C9C3DD3" w14:textId="77777777" w:rsidTr="0056619A">
        <w:trPr>
          <w:tblHeader/>
        </w:trPr>
        <w:tc>
          <w:tcPr>
            <w:tcW w:w="3055" w:type="dxa"/>
            <w:shd w:val="clear" w:color="auto" w:fill="D9D9D9" w:themeFill="background1" w:themeFillShade="D9"/>
          </w:tcPr>
          <w:p w14:paraId="3D853804" w14:textId="77777777" w:rsidR="00231775" w:rsidRPr="00231775" w:rsidRDefault="00231775" w:rsidP="00231775">
            <w:pPr>
              <w:jc w:val="center"/>
              <w:rPr>
                <w:b/>
                <w:bCs/>
                <w:lang w:val="en"/>
              </w:rPr>
            </w:pPr>
            <w:r w:rsidRPr="00231775">
              <w:rPr>
                <w:b/>
                <w:bCs/>
                <w:lang w:val="en"/>
              </w:rPr>
              <w:t xml:space="preserve">Focus Area </w:t>
            </w:r>
          </w:p>
        </w:tc>
        <w:tc>
          <w:tcPr>
            <w:tcW w:w="11430" w:type="dxa"/>
            <w:shd w:val="clear" w:color="auto" w:fill="D9D9D9" w:themeFill="background1" w:themeFillShade="D9"/>
          </w:tcPr>
          <w:p w14:paraId="3AC2C214" w14:textId="77777777" w:rsidR="00231775" w:rsidRPr="00231775" w:rsidRDefault="00231775" w:rsidP="00231775">
            <w:pPr>
              <w:jc w:val="center"/>
              <w:rPr>
                <w:b/>
                <w:bCs/>
                <w:lang w:val="en"/>
              </w:rPr>
            </w:pPr>
            <w:r w:rsidRPr="00231775">
              <w:rPr>
                <w:b/>
                <w:bCs/>
                <w:lang w:val="en"/>
              </w:rPr>
              <w:t>Notes</w:t>
            </w:r>
          </w:p>
        </w:tc>
      </w:tr>
      <w:tr w:rsidR="006C6FD9" w:rsidRPr="00231775" w14:paraId="2EC4F12A" w14:textId="77777777" w:rsidTr="0056619A">
        <w:tc>
          <w:tcPr>
            <w:tcW w:w="3055" w:type="dxa"/>
          </w:tcPr>
          <w:p w14:paraId="08D6E0C7" w14:textId="35B2490E" w:rsidR="00BF4074" w:rsidRDefault="00141022" w:rsidP="00BF4074">
            <w:pPr>
              <w:pStyle w:val="ListParagraph"/>
              <w:numPr>
                <w:ilvl w:val="0"/>
                <w:numId w:val="1"/>
              </w:numPr>
              <w:rPr>
                <w:lang w:val="en"/>
              </w:rPr>
            </w:pPr>
            <w:r>
              <w:rPr>
                <w:lang w:val="en"/>
              </w:rPr>
              <w:t xml:space="preserve">Identify </w:t>
            </w:r>
            <w:r w:rsidR="00BF4074" w:rsidRPr="00BF4074">
              <w:rPr>
                <w:lang w:val="en"/>
              </w:rPr>
              <w:t xml:space="preserve">the Standards: “Which </w:t>
            </w:r>
            <w:r>
              <w:rPr>
                <w:lang w:val="en"/>
              </w:rPr>
              <w:t xml:space="preserve">of the unit </w:t>
            </w:r>
            <w:r w:rsidR="00BF4074" w:rsidRPr="00BF4074">
              <w:rPr>
                <w:lang w:val="en"/>
              </w:rPr>
              <w:t xml:space="preserve">standard(s) or part(s) of standards from the </w:t>
            </w:r>
            <w:hyperlink r:id="rId11" w:history="1">
              <w:r w:rsidR="00BF4074" w:rsidRPr="003F1239">
                <w:rPr>
                  <w:rStyle w:val="Hyperlink"/>
                  <w:lang w:val="en"/>
                </w:rPr>
                <w:t>KAS for Mathematics</w:t>
              </w:r>
            </w:hyperlink>
            <w:r w:rsidR="00BF4074" w:rsidRPr="00BF4074">
              <w:rPr>
                <w:lang w:val="en"/>
              </w:rPr>
              <w:t xml:space="preserve"> are addressed in this lesson?” </w:t>
            </w:r>
          </w:p>
          <w:p w14:paraId="02935718" w14:textId="32780634" w:rsidR="00957206" w:rsidRDefault="0095239E" w:rsidP="00957206">
            <w:pPr>
              <w:pStyle w:val="ListParagraph"/>
              <w:numPr>
                <w:ilvl w:val="1"/>
                <w:numId w:val="1"/>
              </w:numPr>
              <w:rPr>
                <w:lang w:val="en"/>
              </w:rPr>
            </w:pPr>
            <w:r>
              <w:rPr>
                <w:lang w:val="en"/>
              </w:rPr>
              <w:t xml:space="preserve">Consider the Standards for Mathematical Content and the target of </w:t>
            </w:r>
            <w:r w:rsidR="00B23601">
              <w:rPr>
                <w:lang w:val="en"/>
              </w:rPr>
              <w:t>each standard</w:t>
            </w:r>
            <w:r>
              <w:rPr>
                <w:lang w:val="en"/>
              </w:rPr>
              <w:t>.</w:t>
            </w:r>
          </w:p>
          <w:p w14:paraId="2871B75A" w14:textId="67F049A6" w:rsidR="0095239E" w:rsidRPr="00BF4074" w:rsidRDefault="0095239E" w:rsidP="00957206">
            <w:pPr>
              <w:pStyle w:val="ListParagraph"/>
              <w:numPr>
                <w:ilvl w:val="1"/>
                <w:numId w:val="1"/>
              </w:numPr>
              <w:rPr>
                <w:lang w:val="en"/>
              </w:rPr>
            </w:pPr>
            <w:r>
              <w:rPr>
                <w:lang w:val="en"/>
              </w:rPr>
              <w:t>Consider the Standards for Mathematical Practices</w:t>
            </w:r>
            <w:r w:rsidR="00B23601">
              <w:rPr>
                <w:lang w:val="en"/>
              </w:rPr>
              <w:t xml:space="preserve"> students will use</w:t>
            </w:r>
            <w:r>
              <w:rPr>
                <w:lang w:val="en"/>
              </w:rPr>
              <w:t>.</w:t>
            </w:r>
          </w:p>
          <w:p w14:paraId="70FCA935" w14:textId="0C7F406A" w:rsidR="00231775" w:rsidRPr="00231775" w:rsidRDefault="00231775" w:rsidP="00BF4074">
            <w:pPr>
              <w:ind w:left="360"/>
              <w:contextualSpacing/>
              <w:rPr>
                <w:lang w:val="en"/>
              </w:rPr>
            </w:pPr>
          </w:p>
        </w:tc>
        <w:tc>
          <w:tcPr>
            <w:tcW w:w="11430" w:type="dxa"/>
          </w:tcPr>
          <w:p w14:paraId="27F44320" w14:textId="77777777" w:rsidR="00231775" w:rsidRDefault="00231775" w:rsidP="00231775">
            <w:pPr>
              <w:rPr>
                <w:lang w:val="en"/>
              </w:rPr>
            </w:pPr>
          </w:p>
          <w:p w14:paraId="0CC1A741" w14:textId="35C5B1BE" w:rsidR="002657AD" w:rsidRDefault="00275206" w:rsidP="00F462EF">
            <w:pPr>
              <w:spacing w:after="120"/>
              <w:rPr>
                <w:lang w:val="en"/>
              </w:rPr>
            </w:pPr>
            <w:r>
              <w:rPr>
                <w:lang w:val="en"/>
              </w:rPr>
              <w:t>Standard</w:t>
            </w:r>
            <w:r w:rsidR="00547298">
              <w:rPr>
                <w:lang w:val="en"/>
              </w:rPr>
              <w:t>(</w:t>
            </w:r>
            <w:r>
              <w:rPr>
                <w:lang w:val="en"/>
              </w:rPr>
              <w:t>s</w:t>
            </w:r>
            <w:proofErr w:type="gramStart"/>
            <w:r w:rsidR="00547298">
              <w:rPr>
                <w:lang w:val="en"/>
              </w:rPr>
              <w:t>)</w:t>
            </w:r>
            <w:r>
              <w:rPr>
                <w:lang w:val="en"/>
              </w:rPr>
              <w:t>: __</w:t>
            </w:r>
            <w:proofErr w:type="gramEnd"/>
            <w:r>
              <w:rPr>
                <w:lang w:val="en"/>
              </w:rPr>
              <w:t>_________</w:t>
            </w:r>
          </w:p>
          <w:tbl>
            <w:tblPr>
              <w:tblStyle w:val="TableGrid"/>
              <w:tblW w:w="11227" w:type="dxa"/>
              <w:tblLook w:val="04A0" w:firstRow="1" w:lastRow="0" w:firstColumn="1" w:lastColumn="0" w:noHBand="0" w:noVBand="1"/>
            </w:tblPr>
            <w:tblGrid>
              <w:gridCol w:w="11227"/>
            </w:tblGrid>
            <w:tr w:rsidR="0056619A" w14:paraId="7C21A89D" w14:textId="77777777" w:rsidTr="00B271D0">
              <w:tc>
                <w:tcPr>
                  <w:tcW w:w="11227" w:type="dxa"/>
                  <w:shd w:val="clear" w:color="auto" w:fill="BDD6EE" w:themeFill="accent5" w:themeFillTint="66"/>
                </w:tcPr>
                <w:p w14:paraId="77330A5E" w14:textId="36DBEF80" w:rsidR="0056619A" w:rsidRDefault="00F462EF" w:rsidP="00F462EF">
                  <w:pPr>
                    <w:jc w:val="center"/>
                    <w:rPr>
                      <w:lang w:val="en"/>
                    </w:rPr>
                  </w:pPr>
                  <w:r>
                    <w:rPr>
                      <w:b/>
                    </w:rPr>
                    <w:t>Identify the Target of the Standard:</w:t>
                  </w:r>
                </w:p>
              </w:tc>
            </w:tr>
            <w:tr w:rsidR="0056619A" w14:paraId="08CEC073" w14:textId="77777777" w:rsidTr="00B271D0">
              <w:tc>
                <w:tcPr>
                  <w:tcW w:w="11227" w:type="dxa"/>
                </w:tcPr>
                <w:p w14:paraId="48F6E518" w14:textId="77777777" w:rsidR="0056619A" w:rsidRDefault="0056619A" w:rsidP="001D233F">
                  <w:pPr>
                    <w:spacing w:after="120"/>
                    <w:rPr>
                      <w:sz w:val="20"/>
                      <w:szCs w:val="20"/>
                    </w:rPr>
                  </w:pPr>
                  <w:r>
                    <w:rPr>
                      <w:rFonts w:ascii="Symbol" w:eastAsia="Symbol" w:hAnsi="Symbol" w:cs="Symbol"/>
                      <w:lang w:val="en"/>
                    </w:rPr>
                    <w:t>ð</w:t>
                  </w:r>
                  <w:r>
                    <w:rPr>
                      <w:lang w:val="en"/>
                    </w:rPr>
                    <w:t xml:space="preserve"> </w:t>
                  </w:r>
                  <w:r>
                    <w:rPr>
                      <w:b/>
                      <w:sz w:val="20"/>
                      <w:szCs w:val="20"/>
                    </w:rPr>
                    <w:t>Conceptual Understanding</w:t>
                  </w:r>
                  <w:r>
                    <w:rPr>
                      <w:sz w:val="20"/>
                      <w:szCs w:val="20"/>
                    </w:rPr>
                    <w:t xml:space="preserve"> refers to understanding mathematical concepts, operations and relations. Conceptual understanding is more than knowing isolated facts and methods; students should be able to make sense of why a mathematical idea is important and the kinds of contexts in which it is useful. Conceptual understanding allows students to connect prior knowledge to new ideas and concepts.</w:t>
                  </w:r>
                </w:p>
                <w:p w14:paraId="6849B8CF" w14:textId="278371FD" w:rsidR="006E6167" w:rsidRPr="00231775" w:rsidRDefault="006E6167" w:rsidP="001D233F">
                  <w:pPr>
                    <w:spacing w:after="120"/>
                  </w:pPr>
                  <w:r w:rsidRPr="180A42AD">
                    <w:rPr>
                      <w:rFonts w:ascii="Symbol" w:eastAsia="Symbol" w:hAnsi="Symbol" w:cs="Symbol"/>
                      <w:sz w:val="20"/>
                      <w:szCs w:val="20"/>
                    </w:rPr>
                    <w:t>ð</w:t>
                  </w:r>
                  <w:r w:rsidRPr="180A42AD">
                    <w:rPr>
                      <w:sz w:val="20"/>
                      <w:szCs w:val="20"/>
                    </w:rPr>
                    <w:t xml:space="preserve"> </w:t>
                  </w:r>
                  <w:r w:rsidRPr="180A42AD">
                    <w:rPr>
                      <w:b/>
                      <w:sz w:val="20"/>
                      <w:szCs w:val="20"/>
                    </w:rPr>
                    <w:t>Procedural Skill/Fluency</w:t>
                  </w:r>
                  <w:r w:rsidRPr="180A42AD">
                    <w:rPr>
                      <w:sz w:val="20"/>
                      <w:szCs w:val="20"/>
                    </w:rPr>
                    <w:t xml:space="preserve"> is the ability to apply procedures accurately, efficiently, flexibly and appropriately. It requires speed and accuracy in calculation while giving students opportunities to practice basic skills. Students’ ability to solve more complex application and modeling tasks is dependent on procedural skill and fluency</w:t>
                  </w:r>
                </w:p>
                <w:p w14:paraId="324E819A" w14:textId="24B3256B" w:rsidR="0056619A" w:rsidRDefault="00E266BC" w:rsidP="00F462EF">
                  <w:pPr>
                    <w:spacing w:after="120"/>
                  </w:pPr>
                  <w:r w:rsidRPr="180A42AD">
                    <w:rPr>
                      <w:rFonts w:ascii="Symbol" w:eastAsia="Symbol" w:hAnsi="Symbol" w:cs="Symbol"/>
                      <w:sz w:val="20"/>
                      <w:szCs w:val="20"/>
                    </w:rPr>
                    <w:t>ð</w:t>
                  </w:r>
                  <w:r w:rsidRPr="180A42AD">
                    <w:rPr>
                      <w:sz w:val="20"/>
                      <w:szCs w:val="20"/>
                    </w:rPr>
                    <w:t xml:space="preserve"> </w:t>
                  </w:r>
                  <w:r w:rsidRPr="180A42AD">
                    <w:rPr>
                      <w:b/>
                      <w:sz w:val="20"/>
                      <w:szCs w:val="20"/>
                    </w:rPr>
                    <w:t>Application</w:t>
                  </w:r>
                  <w:r w:rsidRPr="180A42AD">
                    <w:rPr>
                      <w:sz w:val="20"/>
                      <w:szCs w:val="20"/>
                    </w:rPr>
                    <w:t xml:space="preserve"> provides a valuable context for learning and the opportunity to solve problems in a relevant and a meaningful way. It is through real-world application that students learn to select an efficient method to find a solution, determine whether the solution(s) makes sense by reasoning and develop critical thinking skills.</w:t>
                  </w:r>
                </w:p>
              </w:tc>
            </w:tr>
            <w:tr w:rsidR="0056619A" w14:paraId="32EA14C8" w14:textId="77777777" w:rsidTr="00B271D0">
              <w:tc>
                <w:tcPr>
                  <w:tcW w:w="11227" w:type="dxa"/>
                  <w:shd w:val="clear" w:color="auto" w:fill="C5E0B3" w:themeFill="accent6" w:themeFillTint="66"/>
                </w:tcPr>
                <w:p w14:paraId="7EB9A489" w14:textId="085650AB" w:rsidR="0056619A" w:rsidRDefault="00F462EF" w:rsidP="00F462EF">
                  <w:pPr>
                    <w:jc w:val="center"/>
                    <w:rPr>
                      <w:lang w:val="en"/>
                    </w:rPr>
                  </w:pPr>
                  <w:r>
                    <w:rPr>
                      <w:b/>
                    </w:rPr>
                    <w:t>Identify the Practice Standard:</w:t>
                  </w:r>
                </w:p>
              </w:tc>
            </w:tr>
            <w:tr w:rsidR="0056619A" w14:paraId="07AD82C0" w14:textId="77777777" w:rsidTr="00B271D0">
              <w:tc>
                <w:tcPr>
                  <w:tcW w:w="11227" w:type="dxa"/>
                </w:tcPr>
                <w:p w14:paraId="0577AD4E" w14:textId="171B62D1" w:rsidR="00B271D0" w:rsidRPr="00AF246E" w:rsidRDefault="00B271D0" w:rsidP="00AF246E">
                  <w:pPr>
                    <w:spacing w:line="276" w:lineRule="auto"/>
                    <w:rPr>
                      <w:sz w:val="19"/>
                      <w:szCs w:val="19"/>
                    </w:rPr>
                  </w:pPr>
                  <w:r w:rsidRPr="180A42AD">
                    <w:rPr>
                      <w:rFonts w:ascii="Symbol" w:eastAsia="Symbol" w:hAnsi="Symbol" w:cs="Symbol"/>
                      <w:sz w:val="19"/>
                      <w:szCs w:val="19"/>
                    </w:rPr>
                    <w:t>ð</w:t>
                  </w:r>
                  <w:r w:rsidRPr="180A42AD">
                    <w:rPr>
                      <w:sz w:val="19"/>
                      <w:szCs w:val="19"/>
                    </w:rPr>
                    <w:t xml:space="preserve"> </w:t>
                  </w:r>
                  <w:hyperlink r:id="rId12" w:anchor="page=12">
                    <w:r w:rsidRPr="180A42AD">
                      <w:rPr>
                        <w:rStyle w:val="Hyperlink"/>
                        <w:sz w:val="19"/>
                        <w:szCs w:val="19"/>
                      </w:rPr>
                      <w:t>MP.1.</w:t>
                    </w:r>
                  </w:hyperlink>
                  <w:r w:rsidRPr="180A42AD">
                    <w:rPr>
                      <w:sz w:val="19"/>
                      <w:szCs w:val="19"/>
                    </w:rPr>
                    <w:t xml:space="preserve"> Make sense of problems and persevere in solving them.    </w:t>
                  </w:r>
                  <w:r w:rsidR="00A863D4" w:rsidRPr="180A42AD">
                    <w:rPr>
                      <w:sz w:val="19"/>
                      <w:szCs w:val="19"/>
                    </w:rPr>
                    <w:t xml:space="preserve">            </w:t>
                  </w:r>
                  <w:r w:rsidRPr="180A42AD">
                    <w:rPr>
                      <w:sz w:val="19"/>
                      <w:szCs w:val="19"/>
                    </w:rPr>
                    <w:t xml:space="preserve"> </w:t>
                  </w:r>
                  <w:r w:rsidRPr="180A42AD">
                    <w:rPr>
                      <w:rFonts w:ascii="Symbol" w:eastAsia="Symbol" w:hAnsi="Symbol" w:cs="Symbol"/>
                      <w:sz w:val="19"/>
                      <w:szCs w:val="19"/>
                    </w:rPr>
                    <w:t>ð</w:t>
                  </w:r>
                  <w:r w:rsidRPr="180A42AD">
                    <w:rPr>
                      <w:sz w:val="19"/>
                      <w:szCs w:val="19"/>
                    </w:rPr>
                    <w:t xml:space="preserve"> </w:t>
                  </w:r>
                  <w:hyperlink r:id="rId13" w:anchor="page=14">
                    <w:r w:rsidRPr="180A42AD">
                      <w:rPr>
                        <w:rStyle w:val="Hyperlink"/>
                        <w:sz w:val="19"/>
                        <w:szCs w:val="19"/>
                      </w:rPr>
                      <w:t>MP.5.</w:t>
                    </w:r>
                  </w:hyperlink>
                  <w:r w:rsidRPr="180A42AD">
                    <w:rPr>
                      <w:sz w:val="19"/>
                      <w:szCs w:val="19"/>
                    </w:rPr>
                    <w:t xml:space="preserve"> Use appropriate tools strategically.</w:t>
                  </w:r>
                </w:p>
                <w:p w14:paraId="0D090BA4" w14:textId="3FED12D6" w:rsidR="00B271D0" w:rsidRPr="00AF246E" w:rsidRDefault="00B271D0" w:rsidP="00AF246E">
                  <w:pPr>
                    <w:spacing w:line="276" w:lineRule="auto"/>
                    <w:rPr>
                      <w:sz w:val="19"/>
                      <w:szCs w:val="19"/>
                    </w:rPr>
                  </w:pPr>
                  <w:r w:rsidRPr="180A42AD">
                    <w:rPr>
                      <w:rFonts w:ascii="Symbol" w:eastAsia="Symbol" w:hAnsi="Symbol" w:cs="Symbol"/>
                      <w:sz w:val="19"/>
                      <w:szCs w:val="19"/>
                    </w:rPr>
                    <w:t>ð</w:t>
                  </w:r>
                  <w:r w:rsidRPr="180A42AD">
                    <w:rPr>
                      <w:sz w:val="19"/>
                      <w:szCs w:val="19"/>
                    </w:rPr>
                    <w:t xml:space="preserve"> </w:t>
                  </w:r>
                  <w:hyperlink r:id="rId14" w:anchor="page=13">
                    <w:r w:rsidRPr="180A42AD">
                      <w:rPr>
                        <w:rStyle w:val="Hyperlink"/>
                        <w:sz w:val="19"/>
                        <w:szCs w:val="19"/>
                      </w:rPr>
                      <w:t>MP.2.</w:t>
                    </w:r>
                  </w:hyperlink>
                  <w:r w:rsidRPr="180A42AD">
                    <w:rPr>
                      <w:sz w:val="19"/>
                      <w:szCs w:val="19"/>
                    </w:rPr>
                    <w:t xml:space="preserve"> Reason abstractly and quantitatively.                                      </w:t>
                  </w:r>
                  <w:r w:rsidR="00A863D4" w:rsidRPr="180A42AD">
                    <w:rPr>
                      <w:sz w:val="19"/>
                      <w:szCs w:val="19"/>
                    </w:rPr>
                    <w:t xml:space="preserve">           </w:t>
                  </w:r>
                  <w:r w:rsidRPr="180A42AD">
                    <w:rPr>
                      <w:sz w:val="19"/>
                      <w:szCs w:val="19"/>
                    </w:rPr>
                    <w:t xml:space="preserve"> </w:t>
                  </w:r>
                  <w:r w:rsidR="00A863D4" w:rsidRPr="180A42AD">
                    <w:rPr>
                      <w:sz w:val="19"/>
                      <w:szCs w:val="19"/>
                    </w:rPr>
                    <w:t xml:space="preserve"> </w:t>
                  </w:r>
                  <w:r w:rsidRPr="180A42AD">
                    <w:rPr>
                      <w:rFonts w:ascii="Symbol" w:eastAsia="Symbol" w:hAnsi="Symbol" w:cs="Symbol"/>
                      <w:sz w:val="19"/>
                      <w:szCs w:val="19"/>
                    </w:rPr>
                    <w:t>ð</w:t>
                  </w:r>
                  <w:r w:rsidRPr="180A42AD">
                    <w:rPr>
                      <w:sz w:val="19"/>
                      <w:szCs w:val="19"/>
                    </w:rPr>
                    <w:t xml:space="preserve"> </w:t>
                  </w:r>
                  <w:hyperlink r:id="rId15" w:anchor="page=14">
                    <w:r w:rsidRPr="180A42AD">
                      <w:rPr>
                        <w:rStyle w:val="Hyperlink"/>
                        <w:sz w:val="19"/>
                        <w:szCs w:val="19"/>
                      </w:rPr>
                      <w:t>MP.6.</w:t>
                    </w:r>
                  </w:hyperlink>
                  <w:r w:rsidRPr="180A42AD">
                    <w:rPr>
                      <w:sz w:val="19"/>
                      <w:szCs w:val="19"/>
                    </w:rPr>
                    <w:t xml:space="preserve"> Attend to precision.</w:t>
                  </w:r>
                </w:p>
                <w:p w14:paraId="3A28790C" w14:textId="13B6AF0D" w:rsidR="00B271D0" w:rsidRPr="00AF246E" w:rsidRDefault="00B271D0" w:rsidP="00AF246E">
                  <w:pPr>
                    <w:spacing w:line="276" w:lineRule="auto"/>
                    <w:rPr>
                      <w:sz w:val="19"/>
                      <w:szCs w:val="19"/>
                    </w:rPr>
                  </w:pPr>
                  <w:r w:rsidRPr="180A42AD">
                    <w:rPr>
                      <w:rFonts w:ascii="Symbol" w:eastAsia="Symbol" w:hAnsi="Symbol" w:cs="Symbol"/>
                      <w:sz w:val="19"/>
                      <w:szCs w:val="19"/>
                    </w:rPr>
                    <w:t>ð</w:t>
                  </w:r>
                  <w:r w:rsidRPr="180A42AD">
                    <w:rPr>
                      <w:sz w:val="19"/>
                      <w:szCs w:val="19"/>
                    </w:rPr>
                    <w:t xml:space="preserve"> </w:t>
                  </w:r>
                  <w:hyperlink r:id="rId16" w:anchor="page=13">
                    <w:r w:rsidRPr="180A42AD">
                      <w:rPr>
                        <w:rStyle w:val="Hyperlink"/>
                        <w:sz w:val="19"/>
                        <w:szCs w:val="19"/>
                      </w:rPr>
                      <w:t>MP.3.</w:t>
                    </w:r>
                  </w:hyperlink>
                  <w:r w:rsidRPr="180A42AD">
                    <w:rPr>
                      <w:sz w:val="19"/>
                      <w:szCs w:val="19"/>
                    </w:rPr>
                    <w:t xml:space="preserve"> Construct viable arguments and critique the reasoning of others.</w:t>
                  </w:r>
                  <w:r w:rsidR="00A863D4" w:rsidRPr="180A42AD">
                    <w:rPr>
                      <w:sz w:val="19"/>
                      <w:szCs w:val="19"/>
                    </w:rPr>
                    <w:t xml:space="preserve">  </w:t>
                  </w:r>
                  <w:r w:rsidR="00A863D4" w:rsidRPr="180A42AD">
                    <w:rPr>
                      <w:rFonts w:ascii="Symbol" w:eastAsia="Symbol" w:hAnsi="Symbol" w:cs="Symbol"/>
                      <w:sz w:val="19"/>
                      <w:szCs w:val="19"/>
                    </w:rPr>
                    <w:t>ð</w:t>
                  </w:r>
                  <w:r w:rsidR="00A863D4" w:rsidRPr="180A42AD">
                    <w:rPr>
                      <w:sz w:val="19"/>
                      <w:szCs w:val="19"/>
                    </w:rPr>
                    <w:t xml:space="preserve"> </w:t>
                  </w:r>
                  <w:hyperlink r:id="rId17" w:anchor="page=14">
                    <w:r w:rsidR="00A863D4" w:rsidRPr="180A42AD">
                      <w:rPr>
                        <w:rStyle w:val="Hyperlink"/>
                        <w:sz w:val="19"/>
                        <w:szCs w:val="19"/>
                      </w:rPr>
                      <w:t>MP.7.</w:t>
                    </w:r>
                  </w:hyperlink>
                  <w:r w:rsidR="00A863D4" w:rsidRPr="180A42AD">
                    <w:rPr>
                      <w:sz w:val="19"/>
                      <w:szCs w:val="19"/>
                    </w:rPr>
                    <w:t xml:space="preserve"> Look for and make use of structure.  </w:t>
                  </w:r>
                </w:p>
                <w:p w14:paraId="592BFD9E" w14:textId="0BB018A8" w:rsidR="00C76106" w:rsidRDefault="00A863D4" w:rsidP="00AF246E">
                  <w:pPr>
                    <w:spacing w:line="276" w:lineRule="auto"/>
                    <w:rPr>
                      <w:lang w:val="en"/>
                    </w:rPr>
                  </w:pPr>
                  <w:r w:rsidRPr="00AF246E">
                    <w:rPr>
                      <w:rFonts w:ascii="Symbol" w:eastAsia="Symbol" w:hAnsi="Symbol" w:cs="Symbol"/>
                      <w:sz w:val="19"/>
                      <w:szCs w:val="19"/>
                      <w:lang w:val="en"/>
                    </w:rPr>
                    <w:t>ð</w:t>
                  </w:r>
                  <w:r w:rsidRPr="00AF246E">
                    <w:rPr>
                      <w:sz w:val="19"/>
                      <w:szCs w:val="19"/>
                      <w:lang w:val="en"/>
                    </w:rPr>
                    <w:t xml:space="preserve"> </w:t>
                  </w:r>
                  <w:hyperlink r:id="rId18" w:anchor="page=13" w:history="1">
                    <w:r w:rsidRPr="00AF246E">
                      <w:rPr>
                        <w:rStyle w:val="Hyperlink"/>
                        <w:sz w:val="19"/>
                        <w:szCs w:val="19"/>
                        <w:lang w:val="en"/>
                      </w:rPr>
                      <w:t>MP.4.</w:t>
                    </w:r>
                  </w:hyperlink>
                  <w:r w:rsidRPr="00AF246E">
                    <w:rPr>
                      <w:sz w:val="19"/>
                      <w:szCs w:val="19"/>
                      <w:lang w:val="en"/>
                    </w:rPr>
                    <w:t xml:space="preserve"> Model with mathematics.</w:t>
                  </w:r>
                  <w:r w:rsidR="00706DA9" w:rsidRPr="00AF246E">
                    <w:rPr>
                      <w:sz w:val="19"/>
                      <w:szCs w:val="19"/>
                      <w:lang w:val="en"/>
                    </w:rPr>
                    <w:t xml:space="preserve">                                                                        </w:t>
                  </w:r>
                  <w:r w:rsidR="00706DA9" w:rsidRPr="00AF246E">
                    <w:rPr>
                      <w:rFonts w:ascii="Symbol" w:eastAsia="Symbol" w:hAnsi="Symbol" w:cs="Symbol"/>
                      <w:sz w:val="19"/>
                      <w:szCs w:val="19"/>
                      <w:lang w:val="en"/>
                    </w:rPr>
                    <w:t>ð</w:t>
                  </w:r>
                  <w:r w:rsidR="00706DA9" w:rsidRPr="00AF246E">
                    <w:rPr>
                      <w:sz w:val="19"/>
                      <w:szCs w:val="19"/>
                      <w:lang w:val="en"/>
                    </w:rPr>
                    <w:t xml:space="preserve"> </w:t>
                  </w:r>
                  <w:hyperlink r:id="rId19" w:anchor="page=15" w:history="1">
                    <w:r w:rsidR="00706DA9" w:rsidRPr="00AF246E">
                      <w:rPr>
                        <w:rStyle w:val="Hyperlink"/>
                        <w:sz w:val="19"/>
                        <w:szCs w:val="19"/>
                      </w:rPr>
                      <w:t>MP.8.</w:t>
                    </w:r>
                  </w:hyperlink>
                  <w:r w:rsidR="00706DA9" w:rsidRPr="00AF246E">
                    <w:rPr>
                      <w:sz w:val="19"/>
                      <w:szCs w:val="19"/>
                    </w:rPr>
                    <w:t xml:space="preserve"> Look for and express regularity in repeated reasoning.</w:t>
                  </w:r>
                </w:p>
              </w:tc>
            </w:tr>
          </w:tbl>
          <w:p w14:paraId="5471D9FF" w14:textId="77777777" w:rsidR="00B23601" w:rsidRPr="00231775" w:rsidRDefault="00B23601" w:rsidP="00231775">
            <w:pPr>
              <w:rPr>
                <w:lang w:val="en"/>
              </w:rPr>
            </w:pPr>
          </w:p>
        </w:tc>
      </w:tr>
      <w:tr w:rsidR="006C6FD9" w:rsidRPr="00231775" w14:paraId="2C9311EE" w14:textId="77777777" w:rsidTr="0056619A">
        <w:tc>
          <w:tcPr>
            <w:tcW w:w="3055" w:type="dxa"/>
          </w:tcPr>
          <w:p w14:paraId="7E84FD3F" w14:textId="77777777" w:rsidR="001530C9" w:rsidRPr="001530C9" w:rsidRDefault="001530C9" w:rsidP="001530C9">
            <w:pPr>
              <w:pStyle w:val="ListParagraph"/>
              <w:numPr>
                <w:ilvl w:val="0"/>
                <w:numId w:val="1"/>
              </w:numPr>
              <w:rPr>
                <w:bCs/>
                <w:lang w:val="en"/>
              </w:rPr>
            </w:pPr>
            <w:r w:rsidRPr="001530C9">
              <w:rPr>
                <w:bCs/>
                <w:lang w:val="en"/>
              </w:rPr>
              <w:t>Complete the Formative Task(s): “What math skills/concepts from the standards are assessed in today’s lesson?”</w:t>
            </w:r>
          </w:p>
          <w:p w14:paraId="65BE502D" w14:textId="6DC9ADEE" w:rsidR="00231775" w:rsidRPr="00231775" w:rsidRDefault="00231775" w:rsidP="00DB58F2">
            <w:pPr>
              <w:contextualSpacing/>
              <w:rPr>
                <w:sz w:val="18"/>
                <w:szCs w:val="18"/>
                <w:lang w:val="en"/>
              </w:rPr>
            </w:pPr>
          </w:p>
        </w:tc>
        <w:tc>
          <w:tcPr>
            <w:tcW w:w="11430" w:type="dxa"/>
          </w:tcPr>
          <w:p w14:paraId="5116C8B4" w14:textId="77777777" w:rsidR="00231775" w:rsidRPr="00231775" w:rsidRDefault="00231775" w:rsidP="00231775">
            <w:pPr>
              <w:rPr>
                <w:lang w:val="en"/>
              </w:rPr>
            </w:pPr>
          </w:p>
          <w:p w14:paraId="721E92FB" w14:textId="77777777" w:rsidR="00231775" w:rsidRPr="00231775" w:rsidRDefault="00231775" w:rsidP="00231775">
            <w:pPr>
              <w:rPr>
                <w:lang w:val="en"/>
              </w:rPr>
            </w:pPr>
          </w:p>
          <w:p w14:paraId="19F98F1D" w14:textId="77777777" w:rsidR="00231775" w:rsidRPr="00231775" w:rsidRDefault="00231775" w:rsidP="00231775">
            <w:pPr>
              <w:rPr>
                <w:lang w:val="en"/>
              </w:rPr>
            </w:pPr>
          </w:p>
          <w:p w14:paraId="15F3FC9E" w14:textId="77777777" w:rsidR="00231775" w:rsidRPr="00231775" w:rsidRDefault="00231775" w:rsidP="00231775">
            <w:pPr>
              <w:rPr>
                <w:lang w:val="en"/>
              </w:rPr>
            </w:pPr>
          </w:p>
          <w:p w14:paraId="4C2EEBE6" w14:textId="77777777" w:rsidR="00231775" w:rsidRDefault="00231775" w:rsidP="00231775">
            <w:pPr>
              <w:rPr>
                <w:lang w:val="en"/>
              </w:rPr>
            </w:pPr>
          </w:p>
          <w:p w14:paraId="53784318" w14:textId="77777777" w:rsidR="004F6ED4" w:rsidRDefault="004F6ED4" w:rsidP="00231775">
            <w:pPr>
              <w:rPr>
                <w:lang w:val="en"/>
              </w:rPr>
            </w:pPr>
          </w:p>
          <w:p w14:paraId="3058AB38" w14:textId="77777777" w:rsidR="004F6ED4" w:rsidRPr="00231775" w:rsidRDefault="004F6ED4" w:rsidP="00231775">
            <w:pPr>
              <w:rPr>
                <w:lang w:val="en"/>
              </w:rPr>
            </w:pPr>
          </w:p>
          <w:p w14:paraId="3F1CC0BA" w14:textId="77777777" w:rsidR="00231775" w:rsidRPr="00231775" w:rsidRDefault="00231775" w:rsidP="00231775">
            <w:pPr>
              <w:rPr>
                <w:lang w:val="en"/>
              </w:rPr>
            </w:pPr>
          </w:p>
          <w:p w14:paraId="1516F3C9" w14:textId="77777777" w:rsidR="00231775" w:rsidRPr="00231775" w:rsidRDefault="00231775" w:rsidP="00231775">
            <w:pPr>
              <w:rPr>
                <w:lang w:val="en"/>
              </w:rPr>
            </w:pPr>
          </w:p>
        </w:tc>
      </w:tr>
      <w:tr w:rsidR="006C6FD9" w:rsidRPr="00231775" w14:paraId="36C9DD79" w14:textId="77777777" w:rsidTr="0056619A">
        <w:tc>
          <w:tcPr>
            <w:tcW w:w="3055" w:type="dxa"/>
          </w:tcPr>
          <w:p w14:paraId="236049E5" w14:textId="77777777" w:rsidR="0080025B" w:rsidRPr="0080025B" w:rsidRDefault="0080025B" w:rsidP="009F07D5">
            <w:pPr>
              <w:pStyle w:val="ListParagraph"/>
              <w:numPr>
                <w:ilvl w:val="0"/>
                <w:numId w:val="1"/>
              </w:numPr>
              <w:rPr>
                <w:lang w:val="en"/>
              </w:rPr>
            </w:pPr>
            <w:r w:rsidRPr="0080025B">
              <w:rPr>
                <w:lang w:val="en"/>
              </w:rPr>
              <w:lastRenderedPageBreak/>
              <w:t>Read and annotate any teacher’s notes for the lesson: “</w:t>
            </w:r>
            <w:r w:rsidRPr="006A090C">
              <w:rPr>
                <w:i/>
                <w:iCs/>
                <w:lang w:val="en"/>
              </w:rPr>
              <w:t>What</w:t>
            </w:r>
            <w:r w:rsidRPr="0080025B">
              <w:rPr>
                <w:lang w:val="en"/>
              </w:rPr>
              <w:t xml:space="preserve"> are students learning?”</w:t>
            </w:r>
          </w:p>
          <w:p w14:paraId="21239BDF" w14:textId="008FB004" w:rsidR="00231775" w:rsidRPr="00231775" w:rsidRDefault="00231775" w:rsidP="0080025B">
            <w:pPr>
              <w:ind w:left="360"/>
              <w:contextualSpacing/>
              <w:rPr>
                <w:lang w:val="en"/>
              </w:rPr>
            </w:pPr>
          </w:p>
        </w:tc>
        <w:tc>
          <w:tcPr>
            <w:tcW w:w="11430" w:type="dxa"/>
          </w:tcPr>
          <w:p w14:paraId="6E1F8DA1" w14:textId="77777777" w:rsidR="00231775" w:rsidRPr="00231775" w:rsidRDefault="00231775" w:rsidP="00231775">
            <w:pPr>
              <w:rPr>
                <w:lang w:val="en"/>
              </w:rPr>
            </w:pPr>
          </w:p>
          <w:p w14:paraId="4B894E9A" w14:textId="77777777" w:rsidR="00231775" w:rsidRPr="00231775" w:rsidRDefault="00231775" w:rsidP="00231775">
            <w:pPr>
              <w:rPr>
                <w:lang w:val="en"/>
              </w:rPr>
            </w:pPr>
          </w:p>
          <w:p w14:paraId="6D99402F" w14:textId="77777777" w:rsidR="00231775" w:rsidRPr="00231775" w:rsidRDefault="00231775" w:rsidP="00231775">
            <w:pPr>
              <w:rPr>
                <w:lang w:val="en"/>
              </w:rPr>
            </w:pPr>
          </w:p>
          <w:p w14:paraId="2B404DE7" w14:textId="77777777" w:rsidR="00231775" w:rsidRPr="00231775" w:rsidRDefault="00231775" w:rsidP="00231775">
            <w:pPr>
              <w:rPr>
                <w:lang w:val="en"/>
              </w:rPr>
            </w:pPr>
          </w:p>
          <w:p w14:paraId="5CF95016" w14:textId="77777777" w:rsidR="00231775" w:rsidRPr="00231775" w:rsidRDefault="00231775" w:rsidP="00231775">
            <w:pPr>
              <w:rPr>
                <w:lang w:val="en"/>
              </w:rPr>
            </w:pPr>
          </w:p>
          <w:p w14:paraId="63824C88" w14:textId="77777777" w:rsidR="00231775" w:rsidRPr="00231775" w:rsidRDefault="00231775" w:rsidP="00231775">
            <w:pPr>
              <w:rPr>
                <w:lang w:val="en"/>
              </w:rPr>
            </w:pPr>
          </w:p>
          <w:p w14:paraId="18BEF6DE" w14:textId="77777777" w:rsidR="00231775" w:rsidRPr="00231775" w:rsidRDefault="00231775" w:rsidP="00231775">
            <w:pPr>
              <w:rPr>
                <w:lang w:val="en"/>
              </w:rPr>
            </w:pPr>
          </w:p>
          <w:p w14:paraId="711166FB" w14:textId="77777777" w:rsidR="00231775" w:rsidRPr="00231775" w:rsidRDefault="00231775" w:rsidP="00231775">
            <w:pPr>
              <w:rPr>
                <w:lang w:val="en"/>
              </w:rPr>
            </w:pPr>
          </w:p>
          <w:p w14:paraId="4E05F682" w14:textId="77777777" w:rsidR="00231775" w:rsidRDefault="00231775" w:rsidP="00231775">
            <w:pPr>
              <w:rPr>
                <w:lang w:val="en"/>
              </w:rPr>
            </w:pPr>
          </w:p>
          <w:p w14:paraId="43A89E33" w14:textId="77777777" w:rsidR="00783836" w:rsidRPr="00231775" w:rsidRDefault="00783836" w:rsidP="00231775">
            <w:pPr>
              <w:rPr>
                <w:lang w:val="en"/>
              </w:rPr>
            </w:pPr>
          </w:p>
        </w:tc>
      </w:tr>
      <w:tr w:rsidR="00656639" w:rsidRPr="00231775" w14:paraId="0C2DE87E" w14:textId="77777777" w:rsidTr="0056619A">
        <w:tc>
          <w:tcPr>
            <w:tcW w:w="3055" w:type="dxa"/>
          </w:tcPr>
          <w:p w14:paraId="7E01BCBA" w14:textId="77777777" w:rsidR="00F26E53" w:rsidRPr="00F26E53" w:rsidRDefault="00F26E53" w:rsidP="00F26E53">
            <w:pPr>
              <w:pStyle w:val="ListParagraph"/>
              <w:numPr>
                <w:ilvl w:val="0"/>
                <w:numId w:val="1"/>
              </w:numPr>
              <w:rPr>
                <w:lang w:val="en"/>
              </w:rPr>
            </w:pPr>
            <w:r w:rsidRPr="00F26E53">
              <w:rPr>
                <w:lang w:val="en"/>
              </w:rPr>
              <w:t>Read and annotate lesson, including any teacher’s notes: “</w:t>
            </w:r>
            <w:r w:rsidRPr="006A090C">
              <w:rPr>
                <w:i/>
                <w:iCs/>
                <w:lang w:val="en"/>
              </w:rPr>
              <w:t>How</w:t>
            </w:r>
            <w:r w:rsidRPr="00F26E53">
              <w:rPr>
                <w:lang w:val="en"/>
              </w:rPr>
              <w:t xml:space="preserve"> are students supported in their learning?”</w:t>
            </w:r>
          </w:p>
          <w:p w14:paraId="6D22FA34" w14:textId="77777777" w:rsidR="00656639" w:rsidRPr="0080025B" w:rsidRDefault="00656639" w:rsidP="00F26E53">
            <w:pPr>
              <w:pStyle w:val="ListParagraph"/>
              <w:ind w:left="360"/>
              <w:rPr>
                <w:lang w:val="en"/>
              </w:rPr>
            </w:pPr>
          </w:p>
        </w:tc>
        <w:tc>
          <w:tcPr>
            <w:tcW w:w="11430" w:type="dxa"/>
          </w:tcPr>
          <w:p w14:paraId="62C20427" w14:textId="3A405CC1" w:rsidR="00656639" w:rsidRDefault="00656639" w:rsidP="00231775">
            <w:pPr>
              <w:rPr>
                <w:lang w:val="en"/>
              </w:rPr>
            </w:pPr>
          </w:p>
          <w:p w14:paraId="7FE7C1F2" w14:textId="77777777" w:rsidR="00656639" w:rsidRDefault="00656639" w:rsidP="00231775">
            <w:pPr>
              <w:rPr>
                <w:lang w:val="en"/>
              </w:rPr>
            </w:pPr>
          </w:p>
          <w:p w14:paraId="4FB0E298" w14:textId="77777777" w:rsidR="00F26E53" w:rsidRDefault="00F26E53" w:rsidP="00231775">
            <w:pPr>
              <w:rPr>
                <w:lang w:val="en"/>
              </w:rPr>
            </w:pPr>
          </w:p>
          <w:p w14:paraId="0AEF1A1A" w14:textId="77777777" w:rsidR="00F26E53" w:rsidRDefault="00F26E53" w:rsidP="00231775">
            <w:pPr>
              <w:rPr>
                <w:lang w:val="en"/>
              </w:rPr>
            </w:pPr>
          </w:p>
          <w:p w14:paraId="6B0AB681" w14:textId="77777777" w:rsidR="00F26E53" w:rsidRDefault="00F26E53" w:rsidP="00231775">
            <w:pPr>
              <w:rPr>
                <w:lang w:val="en"/>
              </w:rPr>
            </w:pPr>
          </w:p>
          <w:p w14:paraId="7E27FC75" w14:textId="77777777" w:rsidR="00F26E53" w:rsidRDefault="00F26E53" w:rsidP="00231775">
            <w:pPr>
              <w:rPr>
                <w:lang w:val="en"/>
              </w:rPr>
            </w:pPr>
          </w:p>
          <w:p w14:paraId="124527EC" w14:textId="77777777" w:rsidR="00F26E53" w:rsidRDefault="00F26E53" w:rsidP="00231775">
            <w:pPr>
              <w:rPr>
                <w:lang w:val="en"/>
              </w:rPr>
            </w:pPr>
          </w:p>
          <w:p w14:paraId="1F2A3E24" w14:textId="77777777" w:rsidR="00F26E53" w:rsidRDefault="00F26E53" w:rsidP="00231775">
            <w:pPr>
              <w:rPr>
                <w:lang w:val="en"/>
              </w:rPr>
            </w:pPr>
          </w:p>
          <w:p w14:paraId="0E93C3F5" w14:textId="77777777" w:rsidR="00F26E53" w:rsidRDefault="00F26E53" w:rsidP="00231775">
            <w:pPr>
              <w:rPr>
                <w:lang w:val="en"/>
              </w:rPr>
            </w:pPr>
          </w:p>
          <w:p w14:paraId="71E57E5F" w14:textId="77777777" w:rsidR="00F26E53" w:rsidRPr="00231775" w:rsidRDefault="00F26E53" w:rsidP="00231775">
            <w:pPr>
              <w:rPr>
                <w:lang w:val="en"/>
              </w:rPr>
            </w:pPr>
          </w:p>
        </w:tc>
      </w:tr>
    </w:tbl>
    <w:p w14:paraId="38752242" w14:textId="77777777" w:rsidR="00231775" w:rsidRPr="00231775" w:rsidRDefault="00231775" w:rsidP="00231775">
      <w:pPr>
        <w:spacing w:after="0"/>
        <w:rPr>
          <w:lang w:val="en"/>
        </w:rPr>
      </w:pP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4480"/>
      </w:tblGrid>
      <w:tr w:rsidR="00231775" w:rsidRPr="00231775" w14:paraId="7C863601" w14:textId="77777777" w:rsidTr="00547298">
        <w:tc>
          <w:tcPr>
            <w:tcW w:w="14480" w:type="dxa"/>
            <w:shd w:val="clear" w:color="auto" w:fill="066C75"/>
            <w:tcMar>
              <w:top w:w="100" w:type="dxa"/>
              <w:left w:w="100" w:type="dxa"/>
              <w:bottom w:w="100" w:type="dxa"/>
              <w:right w:w="100" w:type="dxa"/>
            </w:tcMar>
          </w:tcPr>
          <w:p w14:paraId="00B00A42" w14:textId="0A59B9AD" w:rsidR="00231775" w:rsidRPr="00231775" w:rsidRDefault="00231775" w:rsidP="009F07D5">
            <w:pPr>
              <w:spacing w:after="0"/>
              <w:jc w:val="center"/>
              <w:rPr>
                <w:b/>
                <w:i/>
                <w:color w:val="FFFFFF"/>
                <w:sz w:val="20"/>
                <w:szCs w:val="20"/>
              </w:rPr>
            </w:pPr>
            <w:r w:rsidRPr="00231775">
              <w:rPr>
                <w:b/>
                <w:bCs/>
                <w:color w:val="FFFFFF" w:themeColor="background1"/>
                <w:sz w:val="24"/>
                <w:szCs w:val="24"/>
              </w:rPr>
              <w:t xml:space="preserve">TAKE STOCK: </w:t>
            </w:r>
            <w:r w:rsidR="001E2E29">
              <w:rPr>
                <w:b/>
                <w:color w:val="FFFFFF" w:themeColor="background1"/>
                <w:sz w:val="24"/>
                <w:szCs w:val="24"/>
              </w:rPr>
              <w:t xml:space="preserve">Identify Learning Gaps </w:t>
            </w:r>
            <w:r w:rsidR="00C27B8E">
              <w:rPr>
                <w:b/>
                <w:color w:val="FFFFFF" w:themeColor="background1"/>
                <w:sz w:val="24"/>
                <w:szCs w:val="24"/>
              </w:rPr>
              <w:t>and</w:t>
            </w:r>
            <w:r w:rsidR="001E2E29">
              <w:rPr>
                <w:b/>
                <w:color w:val="FFFFFF" w:themeColor="background1"/>
                <w:sz w:val="24"/>
                <w:szCs w:val="24"/>
              </w:rPr>
              <w:t xml:space="preserve"> Student Needs</w:t>
            </w:r>
          </w:p>
        </w:tc>
      </w:tr>
    </w:tbl>
    <w:p w14:paraId="43D2AEC3" w14:textId="77777777" w:rsidR="00231775" w:rsidRPr="00231775" w:rsidRDefault="00231775" w:rsidP="00231775">
      <w:pPr>
        <w:spacing w:after="0"/>
        <w:rPr>
          <w:sz w:val="2"/>
          <w:szCs w:val="2"/>
          <w:lang w:val="en"/>
        </w:rPr>
      </w:pPr>
    </w:p>
    <w:tbl>
      <w:tblPr>
        <w:tblStyle w:val="TableGrid"/>
        <w:tblW w:w="14485" w:type="dxa"/>
        <w:tblLook w:val="04A0" w:firstRow="1" w:lastRow="0" w:firstColumn="1" w:lastColumn="0" w:noHBand="0" w:noVBand="1"/>
      </w:tblPr>
      <w:tblGrid>
        <w:gridCol w:w="3055"/>
        <w:gridCol w:w="11430"/>
      </w:tblGrid>
      <w:tr w:rsidR="00231775" w:rsidRPr="00231775" w14:paraId="38FBE297" w14:textId="77777777" w:rsidTr="006A090C">
        <w:tc>
          <w:tcPr>
            <w:tcW w:w="3055" w:type="dxa"/>
            <w:shd w:val="clear" w:color="auto" w:fill="D9D9D9" w:themeFill="background1" w:themeFillShade="D9"/>
          </w:tcPr>
          <w:p w14:paraId="04875186" w14:textId="77777777" w:rsidR="00231775" w:rsidRPr="00231775" w:rsidRDefault="00231775" w:rsidP="00231775">
            <w:pPr>
              <w:jc w:val="center"/>
              <w:rPr>
                <w:b/>
                <w:bCs/>
                <w:lang w:val="en"/>
              </w:rPr>
            </w:pPr>
            <w:r w:rsidRPr="00231775">
              <w:rPr>
                <w:b/>
                <w:bCs/>
                <w:lang w:val="en"/>
              </w:rPr>
              <w:t>Focus Area</w:t>
            </w:r>
          </w:p>
        </w:tc>
        <w:tc>
          <w:tcPr>
            <w:tcW w:w="11430" w:type="dxa"/>
            <w:shd w:val="clear" w:color="auto" w:fill="D9D9D9" w:themeFill="background1" w:themeFillShade="D9"/>
          </w:tcPr>
          <w:p w14:paraId="564F3D9F" w14:textId="77777777" w:rsidR="00231775" w:rsidRPr="00231775" w:rsidRDefault="00231775" w:rsidP="00231775">
            <w:pPr>
              <w:jc w:val="center"/>
              <w:rPr>
                <w:b/>
                <w:bCs/>
                <w:lang w:val="en"/>
              </w:rPr>
            </w:pPr>
            <w:r w:rsidRPr="00231775">
              <w:rPr>
                <w:b/>
                <w:bCs/>
                <w:lang w:val="en"/>
              </w:rPr>
              <w:t>Notes</w:t>
            </w:r>
          </w:p>
        </w:tc>
      </w:tr>
      <w:tr w:rsidR="00231775" w:rsidRPr="00231775" w14:paraId="72D567F7" w14:textId="77777777" w:rsidTr="006A090C">
        <w:tc>
          <w:tcPr>
            <w:tcW w:w="3055" w:type="dxa"/>
          </w:tcPr>
          <w:p w14:paraId="5C683E62" w14:textId="77777777" w:rsidR="004B7CB6" w:rsidRPr="004B7CB6" w:rsidRDefault="004B7CB6" w:rsidP="004B7CB6">
            <w:pPr>
              <w:pStyle w:val="ListParagraph"/>
              <w:numPr>
                <w:ilvl w:val="0"/>
                <w:numId w:val="1"/>
              </w:numPr>
            </w:pPr>
            <w:r w:rsidRPr="180A42AD">
              <w:t>Understand your students, their strengths, and anticipate the challenges they might face.</w:t>
            </w:r>
          </w:p>
          <w:p w14:paraId="32308EED" w14:textId="78EDF8A1" w:rsidR="00231775" w:rsidRPr="00231775" w:rsidRDefault="00231775" w:rsidP="004B7CB6">
            <w:pPr>
              <w:ind w:left="72"/>
              <w:contextualSpacing/>
              <w:rPr>
                <w:lang w:val="en"/>
              </w:rPr>
            </w:pPr>
          </w:p>
        </w:tc>
        <w:tc>
          <w:tcPr>
            <w:tcW w:w="11430" w:type="dxa"/>
          </w:tcPr>
          <w:p w14:paraId="0BE7EC4C" w14:textId="77777777" w:rsidR="00231775" w:rsidRPr="00231775" w:rsidRDefault="00231775" w:rsidP="00231775">
            <w:pPr>
              <w:rPr>
                <w:lang w:val="en"/>
              </w:rPr>
            </w:pPr>
          </w:p>
          <w:p w14:paraId="5B60DD0D" w14:textId="77777777" w:rsidR="00231775" w:rsidRPr="00231775" w:rsidRDefault="00231775" w:rsidP="00231775">
            <w:pPr>
              <w:rPr>
                <w:lang w:val="en"/>
              </w:rPr>
            </w:pPr>
          </w:p>
          <w:p w14:paraId="2E0D1377" w14:textId="77777777" w:rsidR="00231775" w:rsidRDefault="00231775" w:rsidP="00231775">
            <w:pPr>
              <w:rPr>
                <w:lang w:val="en"/>
              </w:rPr>
            </w:pPr>
          </w:p>
          <w:p w14:paraId="330E8DCB" w14:textId="77777777" w:rsidR="00CE4668" w:rsidRDefault="00CE4668" w:rsidP="00231775">
            <w:pPr>
              <w:rPr>
                <w:lang w:val="en"/>
              </w:rPr>
            </w:pPr>
          </w:p>
          <w:p w14:paraId="1A09AD79" w14:textId="77777777" w:rsidR="00CE4668" w:rsidRPr="00231775" w:rsidRDefault="00CE4668" w:rsidP="00231775">
            <w:pPr>
              <w:rPr>
                <w:lang w:val="en"/>
              </w:rPr>
            </w:pPr>
          </w:p>
          <w:p w14:paraId="46B08A9B" w14:textId="77777777" w:rsidR="00231775" w:rsidRPr="00231775" w:rsidRDefault="00231775" w:rsidP="00231775">
            <w:pPr>
              <w:rPr>
                <w:lang w:val="en"/>
              </w:rPr>
            </w:pPr>
          </w:p>
          <w:p w14:paraId="7DC235FF" w14:textId="77777777" w:rsidR="00231775" w:rsidRPr="00231775" w:rsidRDefault="00231775" w:rsidP="00231775">
            <w:pPr>
              <w:rPr>
                <w:lang w:val="en"/>
              </w:rPr>
            </w:pPr>
          </w:p>
          <w:p w14:paraId="1E9E61BD" w14:textId="77777777" w:rsidR="00231775" w:rsidRPr="00231775" w:rsidRDefault="00231775" w:rsidP="00231775">
            <w:pPr>
              <w:rPr>
                <w:lang w:val="en"/>
              </w:rPr>
            </w:pPr>
          </w:p>
          <w:p w14:paraId="3D184AEE" w14:textId="77777777" w:rsidR="00231775" w:rsidRPr="00231775" w:rsidRDefault="00231775" w:rsidP="00231775">
            <w:pPr>
              <w:rPr>
                <w:lang w:val="en"/>
              </w:rPr>
            </w:pPr>
          </w:p>
          <w:p w14:paraId="67FF59EF" w14:textId="77777777" w:rsidR="00231775" w:rsidRPr="00231775" w:rsidRDefault="00231775" w:rsidP="00231775">
            <w:pPr>
              <w:rPr>
                <w:lang w:val="en"/>
              </w:rPr>
            </w:pPr>
          </w:p>
          <w:p w14:paraId="77CB1761" w14:textId="77777777" w:rsidR="00231775" w:rsidRDefault="00231775" w:rsidP="00231775">
            <w:pPr>
              <w:rPr>
                <w:lang w:val="en"/>
              </w:rPr>
            </w:pPr>
          </w:p>
          <w:p w14:paraId="57870B9D" w14:textId="77777777" w:rsidR="00600840" w:rsidRPr="00231775" w:rsidRDefault="00600840" w:rsidP="00231775">
            <w:pPr>
              <w:rPr>
                <w:lang w:val="en"/>
              </w:rPr>
            </w:pPr>
          </w:p>
        </w:tc>
      </w:tr>
    </w:tbl>
    <w:p w14:paraId="00025815" w14:textId="77777777" w:rsidR="00231775" w:rsidRPr="00231775" w:rsidRDefault="00231775" w:rsidP="00231775">
      <w:pPr>
        <w:spacing w:after="0"/>
        <w:rPr>
          <w:lang w:val="en"/>
        </w:rPr>
      </w:pP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4480"/>
      </w:tblGrid>
      <w:tr w:rsidR="00231775" w:rsidRPr="00231775" w14:paraId="3116B09E" w14:textId="77777777" w:rsidTr="00547298">
        <w:tc>
          <w:tcPr>
            <w:tcW w:w="14480" w:type="dxa"/>
            <w:shd w:val="clear" w:color="auto" w:fill="45BBBF"/>
            <w:tcMar>
              <w:top w:w="100" w:type="dxa"/>
              <w:left w:w="100" w:type="dxa"/>
              <w:bottom w:w="100" w:type="dxa"/>
              <w:right w:w="100" w:type="dxa"/>
            </w:tcMar>
          </w:tcPr>
          <w:p w14:paraId="74F9E016" w14:textId="7291B805" w:rsidR="00231775" w:rsidRPr="00231775" w:rsidRDefault="00231775" w:rsidP="00231775">
            <w:pPr>
              <w:jc w:val="center"/>
              <w:rPr>
                <w:b/>
                <w:color w:val="FFFFFF"/>
                <w:sz w:val="24"/>
                <w:szCs w:val="24"/>
              </w:rPr>
            </w:pPr>
            <w:r w:rsidRPr="00231775">
              <w:rPr>
                <w:b/>
                <w:color w:val="FFFFFF" w:themeColor="background1"/>
                <w:sz w:val="24"/>
                <w:szCs w:val="24"/>
              </w:rPr>
              <w:lastRenderedPageBreak/>
              <w:t xml:space="preserve">TAKE ACTION: Make Adjustments to </w:t>
            </w:r>
            <w:r w:rsidR="00A94C68">
              <w:rPr>
                <w:b/>
                <w:color w:val="FFFFFF" w:themeColor="background1"/>
                <w:sz w:val="24"/>
                <w:szCs w:val="24"/>
              </w:rPr>
              <w:t xml:space="preserve">Lesson </w:t>
            </w:r>
          </w:p>
        </w:tc>
      </w:tr>
    </w:tbl>
    <w:p w14:paraId="4E827224" w14:textId="77777777" w:rsidR="00231775" w:rsidRPr="00231775" w:rsidRDefault="00231775" w:rsidP="00231775">
      <w:pPr>
        <w:spacing w:after="0"/>
        <w:rPr>
          <w:sz w:val="2"/>
          <w:szCs w:val="2"/>
        </w:rPr>
      </w:pPr>
    </w:p>
    <w:tbl>
      <w:tblPr>
        <w:tblStyle w:val="TableGrid"/>
        <w:tblW w:w="14485" w:type="dxa"/>
        <w:tblLook w:val="04A0" w:firstRow="1" w:lastRow="0" w:firstColumn="1" w:lastColumn="0" w:noHBand="0" w:noVBand="1"/>
      </w:tblPr>
      <w:tblGrid>
        <w:gridCol w:w="3775"/>
        <w:gridCol w:w="10710"/>
      </w:tblGrid>
      <w:tr w:rsidR="00231775" w:rsidRPr="00231775" w14:paraId="0EE2EA15" w14:textId="77777777" w:rsidTr="13CE7619">
        <w:trPr>
          <w:tblHeader/>
        </w:trPr>
        <w:tc>
          <w:tcPr>
            <w:tcW w:w="3775" w:type="dxa"/>
            <w:shd w:val="clear" w:color="auto" w:fill="D9D9D9" w:themeFill="background1" w:themeFillShade="D9"/>
          </w:tcPr>
          <w:p w14:paraId="7D61B99F" w14:textId="77777777" w:rsidR="00231775" w:rsidRPr="00231775" w:rsidRDefault="00231775" w:rsidP="00231775">
            <w:pPr>
              <w:jc w:val="center"/>
              <w:rPr>
                <w:b/>
                <w:bCs/>
              </w:rPr>
            </w:pPr>
            <w:r w:rsidRPr="00231775">
              <w:rPr>
                <w:b/>
                <w:bCs/>
              </w:rPr>
              <w:t>Focus Area</w:t>
            </w:r>
          </w:p>
        </w:tc>
        <w:tc>
          <w:tcPr>
            <w:tcW w:w="10710" w:type="dxa"/>
            <w:shd w:val="clear" w:color="auto" w:fill="D9D9D9" w:themeFill="background1" w:themeFillShade="D9"/>
          </w:tcPr>
          <w:p w14:paraId="291B1434" w14:textId="77777777" w:rsidR="00231775" w:rsidRPr="00231775" w:rsidRDefault="00231775" w:rsidP="00231775">
            <w:pPr>
              <w:jc w:val="center"/>
              <w:rPr>
                <w:b/>
                <w:bCs/>
              </w:rPr>
            </w:pPr>
            <w:r w:rsidRPr="00231775">
              <w:rPr>
                <w:b/>
                <w:bCs/>
              </w:rPr>
              <w:t>Notes</w:t>
            </w:r>
          </w:p>
        </w:tc>
      </w:tr>
      <w:tr w:rsidR="00231775" w:rsidRPr="00231775" w14:paraId="57A8BB8F" w14:textId="77777777" w:rsidTr="13CE7619">
        <w:tc>
          <w:tcPr>
            <w:tcW w:w="3775" w:type="dxa"/>
          </w:tcPr>
          <w:p w14:paraId="323ADD47" w14:textId="1586C513" w:rsidR="00231775" w:rsidRPr="00231775" w:rsidRDefault="006B539F" w:rsidP="006B539F">
            <w:pPr>
              <w:pStyle w:val="ListParagraph"/>
              <w:numPr>
                <w:ilvl w:val="0"/>
                <w:numId w:val="1"/>
              </w:numPr>
            </w:pPr>
            <w:r w:rsidRPr="006B539F">
              <w:t xml:space="preserve">Prioritize and adjust the lesson: “How can I tailor this lesson to the specific needs of my students?” </w:t>
            </w:r>
          </w:p>
        </w:tc>
        <w:tc>
          <w:tcPr>
            <w:tcW w:w="10710" w:type="dxa"/>
          </w:tcPr>
          <w:p w14:paraId="1747C8BC" w14:textId="77777777" w:rsidR="00231775" w:rsidRPr="00231775" w:rsidRDefault="00231775" w:rsidP="00231775"/>
          <w:p w14:paraId="37EC82E7" w14:textId="77777777" w:rsidR="00231775" w:rsidRPr="00231775" w:rsidRDefault="00231775" w:rsidP="00231775"/>
          <w:p w14:paraId="0766B103" w14:textId="77777777" w:rsidR="00231775" w:rsidRPr="00231775" w:rsidRDefault="00231775" w:rsidP="00231775"/>
          <w:p w14:paraId="09A17272" w14:textId="77777777" w:rsidR="00231775" w:rsidRPr="00231775" w:rsidRDefault="00231775" w:rsidP="00231775"/>
          <w:p w14:paraId="11B0354A" w14:textId="77777777" w:rsidR="00231775" w:rsidRPr="00231775" w:rsidRDefault="00231775" w:rsidP="00231775"/>
          <w:p w14:paraId="278ADCC0" w14:textId="77777777" w:rsidR="00231775" w:rsidRDefault="00231775" w:rsidP="00231775"/>
          <w:p w14:paraId="5041F6D9" w14:textId="5EF369C1" w:rsidR="007B5FE5" w:rsidRDefault="007B5FE5" w:rsidP="13CE7619"/>
          <w:p w14:paraId="1543733E" w14:textId="77777777" w:rsidR="00653405" w:rsidRPr="00231775" w:rsidRDefault="00653405" w:rsidP="00231775"/>
        </w:tc>
      </w:tr>
      <w:tr w:rsidR="0036263C" w:rsidRPr="00231775" w14:paraId="4562FA62" w14:textId="77777777" w:rsidTr="13CE7619">
        <w:tc>
          <w:tcPr>
            <w:tcW w:w="3775" w:type="dxa"/>
          </w:tcPr>
          <w:p w14:paraId="5CE775DF" w14:textId="249E9F15" w:rsidR="00653405" w:rsidRPr="00653405" w:rsidRDefault="00653405" w:rsidP="00653405">
            <w:pPr>
              <w:pStyle w:val="ListParagraph"/>
              <w:numPr>
                <w:ilvl w:val="0"/>
                <w:numId w:val="1"/>
              </w:numPr>
            </w:pPr>
            <w:r w:rsidRPr="00653405">
              <w:t>Reflect on the planned lesson: “Do the lesson adjustments and added supports align with the standard(s) and the learning goal</w:t>
            </w:r>
            <w:r w:rsidR="00B712FB">
              <w:t>(</w:t>
            </w:r>
            <w:r w:rsidRPr="00653405">
              <w:t>s</w:t>
            </w:r>
            <w:r w:rsidR="00B712FB">
              <w:t>)</w:t>
            </w:r>
            <w:r w:rsidRPr="00653405">
              <w:t>?”</w:t>
            </w:r>
          </w:p>
          <w:p w14:paraId="1BA84935" w14:textId="77777777" w:rsidR="0036263C" w:rsidRDefault="0036263C" w:rsidP="004A7298">
            <w:pPr>
              <w:pStyle w:val="ListParagraph"/>
              <w:ind w:left="360"/>
            </w:pPr>
          </w:p>
          <w:p w14:paraId="6F7C6BCA" w14:textId="77777777" w:rsidR="004A7298" w:rsidRDefault="004A7298" w:rsidP="004A7298">
            <w:pPr>
              <w:pStyle w:val="ListParagraph"/>
              <w:ind w:left="360"/>
            </w:pPr>
          </w:p>
          <w:p w14:paraId="1EEADEB0" w14:textId="77777777" w:rsidR="004A7298" w:rsidRDefault="004A7298" w:rsidP="004A7298">
            <w:pPr>
              <w:pStyle w:val="ListParagraph"/>
              <w:ind w:left="360"/>
            </w:pPr>
          </w:p>
          <w:p w14:paraId="29FBF61F" w14:textId="05E5156D" w:rsidR="004A7298" w:rsidRDefault="004A7298" w:rsidP="13CE7619">
            <w:pPr>
              <w:ind w:left="360"/>
            </w:pPr>
          </w:p>
          <w:p w14:paraId="2B3166F3" w14:textId="77777777" w:rsidR="004A7298" w:rsidRPr="0036263C" w:rsidRDefault="004A7298" w:rsidP="004A7298">
            <w:pPr>
              <w:pStyle w:val="ListParagraph"/>
              <w:ind w:left="360"/>
            </w:pPr>
          </w:p>
        </w:tc>
        <w:tc>
          <w:tcPr>
            <w:tcW w:w="10710" w:type="dxa"/>
          </w:tcPr>
          <w:p w14:paraId="0A4E52F2" w14:textId="77777777" w:rsidR="0036263C" w:rsidRDefault="0036263C" w:rsidP="00231775"/>
          <w:p w14:paraId="59C5BD6B" w14:textId="77777777" w:rsidR="004A7298" w:rsidRDefault="004A7298" w:rsidP="00231775"/>
          <w:p w14:paraId="3E12E7B7" w14:textId="77777777" w:rsidR="004A7298" w:rsidRDefault="004A7298" w:rsidP="00231775"/>
          <w:p w14:paraId="7CDA2FF5" w14:textId="77777777" w:rsidR="004A7298" w:rsidRDefault="004A7298" w:rsidP="00231775"/>
          <w:p w14:paraId="0B921685" w14:textId="77777777" w:rsidR="004A7298" w:rsidRDefault="004A7298" w:rsidP="00231775"/>
          <w:p w14:paraId="28A9173D" w14:textId="77777777" w:rsidR="004A7298" w:rsidRDefault="004A7298" w:rsidP="00231775"/>
          <w:p w14:paraId="1DD310D6" w14:textId="77777777" w:rsidR="004A7298" w:rsidRDefault="004A7298" w:rsidP="00231775"/>
          <w:p w14:paraId="4D29D67F" w14:textId="13D4CDA1" w:rsidR="004A7298" w:rsidRDefault="004A7298" w:rsidP="13CE7619"/>
          <w:p w14:paraId="21473FB0" w14:textId="77777777" w:rsidR="00653405" w:rsidRPr="00231775" w:rsidRDefault="00653405" w:rsidP="00231775"/>
        </w:tc>
      </w:tr>
    </w:tbl>
    <w:p w14:paraId="7F3032F7" w14:textId="77777777" w:rsidR="00231775" w:rsidRPr="00231775" w:rsidRDefault="00231775" w:rsidP="00231775"/>
    <w:p w14:paraId="77201BA6" w14:textId="77777777" w:rsidR="00231775" w:rsidRPr="00231775" w:rsidRDefault="00231775" w:rsidP="00231775"/>
    <w:p w14:paraId="2C078E63" w14:textId="77777777" w:rsidR="007634F9" w:rsidRDefault="007634F9"/>
    <w:sectPr w:rsidR="007634F9" w:rsidSect="002657AD">
      <w:headerReference w:type="defaul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4739A" w14:textId="77777777" w:rsidR="001F0982" w:rsidRDefault="001F0982" w:rsidP="00EA67B1">
      <w:pPr>
        <w:spacing w:after="0" w:line="240" w:lineRule="auto"/>
      </w:pPr>
      <w:r>
        <w:separator/>
      </w:r>
    </w:p>
  </w:endnote>
  <w:endnote w:type="continuationSeparator" w:id="0">
    <w:p w14:paraId="397F2F38" w14:textId="77777777" w:rsidR="001F0982" w:rsidRDefault="001F0982" w:rsidP="00EA67B1">
      <w:pPr>
        <w:spacing w:after="0" w:line="240" w:lineRule="auto"/>
      </w:pPr>
      <w:r>
        <w:continuationSeparator/>
      </w:r>
    </w:p>
  </w:endnote>
  <w:endnote w:type="continuationNotice" w:id="1">
    <w:p w14:paraId="359C7D97" w14:textId="77777777" w:rsidR="001F0982" w:rsidRDefault="001F0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D1EA4" w14:textId="77777777" w:rsidR="001F0982" w:rsidRDefault="001F0982" w:rsidP="00EA67B1">
      <w:pPr>
        <w:spacing w:after="0" w:line="240" w:lineRule="auto"/>
      </w:pPr>
      <w:r>
        <w:separator/>
      </w:r>
    </w:p>
  </w:footnote>
  <w:footnote w:type="continuationSeparator" w:id="0">
    <w:p w14:paraId="73CCAB63" w14:textId="77777777" w:rsidR="001F0982" w:rsidRDefault="001F0982" w:rsidP="00EA67B1">
      <w:pPr>
        <w:spacing w:after="0" w:line="240" w:lineRule="auto"/>
      </w:pPr>
      <w:r>
        <w:continuationSeparator/>
      </w:r>
    </w:p>
  </w:footnote>
  <w:footnote w:type="continuationNotice" w:id="1">
    <w:p w14:paraId="3077CFBD" w14:textId="77777777" w:rsidR="001F0982" w:rsidRDefault="001F09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A8F98" w14:textId="6A8C87A5" w:rsidR="00EA67B1" w:rsidRPr="00EA67B1" w:rsidRDefault="00EA67B1" w:rsidP="00EA67B1">
    <w:pPr>
      <w:pStyle w:val="Header"/>
    </w:pPr>
    <w:r>
      <w:rPr>
        <w:noProof/>
      </w:rPr>
      <w:drawing>
        <wp:anchor distT="0" distB="0" distL="114300" distR="114300" simplePos="0" relativeHeight="251658240" behindDoc="0" locked="0" layoutInCell="1" allowOverlap="1" wp14:anchorId="2C3CC645" wp14:editId="7A2C75BC">
          <wp:simplePos x="0" y="0"/>
          <wp:positionH relativeFrom="margin">
            <wp:align>right</wp:align>
          </wp:positionH>
          <wp:positionV relativeFrom="paragraph">
            <wp:posOffset>-381000</wp:posOffset>
          </wp:positionV>
          <wp:extent cx="1165860" cy="4953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65860" cy="4953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8pt;height:768pt;visibility:visible;mso-wrap-style:square" o:bullet="t">
        <v:imagedata r:id="rId1" o:title=""/>
      </v:shape>
    </w:pict>
  </w:numPicBullet>
  <w:abstractNum w:abstractNumId="0" w15:restartNumberingAfterBreak="0">
    <w:nsid w:val="2230367B"/>
    <w:multiLevelType w:val="hybridMultilevel"/>
    <w:tmpl w:val="438497D0"/>
    <w:lvl w:ilvl="0" w:tplc="AEC09E82">
      <w:start w:val="1"/>
      <w:numFmt w:val="decimal"/>
      <w:lvlText w:val="%1."/>
      <w:lvlJc w:val="left"/>
      <w:pPr>
        <w:ind w:left="720" w:hanging="360"/>
      </w:pPr>
      <w:rPr>
        <w:rFonts w:hint="default"/>
        <w:b/>
        <w:bCs/>
        <w:sz w:val="22"/>
        <w:szCs w:val="22"/>
      </w:rPr>
    </w:lvl>
    <w:lvl w:ilvl="1" w:tplc="5BA8C124">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41EB6"/>
    <w:multiLevelType w:val="hybridMultilevel"/>
    <w:tmpl w:val="BA3ACE14"/>
    <w:lvl w:ilvl="0" w:tplc="FFFFFFFF">
      <w:start w:val="1"/>
      <w:numFmt w:val="decimal"/>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0D427C"/>
    <w:multiLevelType w:val="hybridMultilevel"/>
    <w:tmpl w:val="EB4C6E08"/>
    <w:lvl w:ilvl="0" w:tplc="FFFFFFFF">
      <w:start w:val="1"/>
      <w:numFmt w:val="decimal"/>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CF07B60"/>
    <w:multiLevelType w:val="hybridMultilevel"/>
    <w:tmpl w:val="BE7418B8"/>
    <w:lvl w:ilvl="0" w:tplc="7264DBE8">
      <w:start w:val="1"/>
      <w:numFmt w:val="decimal"/>
      <w:lvlText w:val="%1."/>
      <w:lvlJc w:val="left"/>
      <w:pPr>
        <w:ind w:left="360" w:hanging="288"/>
      </w:pPr>
      <w:rPr>
        <w:rFonts w:hint="default"/>
      </w:rPr>
    </w:lvl>
    <w:lvl w:ilvl="1" w:tplc="7416F368">
      <w:start w:val="1"/>
      <w:numFmt w:val="lowerLetter"/>
      <w:lvlText w:val="%2."/>
      <w:lvlJc w:val="left"/>
      <w:pPr>
        <w:ind w:left="648" w:hanging="28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1B5931"/>
    <w:multiLevelType w:val="hybridMultilevel"/>
    <w:tmpl w:val="E5FA62C2"/>
    <w:lvl w:ilvl="0" w:tplc="4C0CCB6A">
      <w:start w:val="1"/>
      <w:numFmt w:val="bullet"/>
      <w:lvlText w:val=""/>
      <w:lvlJc w:val="left"/>
      <w:pPr>
        <w:ind w:left="576" w:hanging="216"/>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634484024">
    <w:abstractNumId w:val="3"/>
  </w:num>
  <w:num w:numId="2" w16cid:durableId="658117050">
    <w:abstractNumId w:val="4"/>
  </w:num>
  <w:num w:numId="3" w16cid:durableId="1255437225">
    <w:abstractNumId w:val="2"/>
  </w:num>
  <w:num w:numId="4" w16cid:durableId="1913002570">
    <w:abstractNumId w:val="1"/>
  </w:num>
  <w:num w:numId="5" w16cid:durableId="29125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D4925D"/>
    <w:rsid w:val="00004516"/>
    <w:rsid w:val="000510DA"/>
    <w:rsid w:val="000C6066"/>
    <w:rsid w:val="000F65B2"/>
    <w:rsid w:val="00141022"/>
    <w:rsid w:val="001530C9"/>
    <w:rsid w:val="00193F30"/>
    <w:rsid w:val="001D233F"/>
    <w:rsid w:val="001E2E29"/>
    <w:rsid w:val="001F0982"/>
    <w:rsid w:val="002065D6"/>
    <w:rsid w:val="00207F30"/>
    <w:rsid w:val="00231775"/>
    <w:rsid w:val="002657AD"/>
    <w:rsid w:val="00275206"/>
    <w:rsid w:val="002E55EA"/>
    <w:rsid w:val="002F3324"/>
    <w:rsid w:val="0036263C"/>
    <w:rsid w:val="003E3396"/>
    <w:rsid w:val="003F1239"/>
    <w:rsid w:val="00412111"/>
    <w:rsid w:val="004232F0"/>
    <w:rsid w:val="00426B5E"/>
    <w:rsid w:val="0045778F"/>
    <w:rsid w:val="004925BD"/>
    <w:rsid w:val="004A7298"/>
    <w:rsid w:val="004B7CB6"/>
    <w:rsid w:val="004C21EA"/>
    <w:rsid w:val="004D4262"/>
    <w:rsid w:val="004F6ED4"/>
    <w:rsid w:val="00547298"/>
    <w:rsid w:val="00563C49"/>
    <w:rsid w:val="0056619A"/>
    <w:rsid w:val="005970DB"/>
    <w:rsid w:val="00600840"/>
    <w:rsid w:val="00602DD6"/>
    <w:rsid w:val="00634D53"/>
    <w:rsid w:val="00653405"/>
    <w:rsid w:val="00656639"/>
    <w:rsid w:val="00656C46"/>
    <w:rsid w:val="006A090C"/>
    <w:rsid w:val="006B539F"/>
    <w:rsid w:val="006C6FD9"/>
    <w:rsid w:val="006E6167"/>
    <w:rsid w:val="00706DA9"/>
    <w:rsid w:val="00752575"/>
    <w:rsid w:val="00753AEA"/>
    <w:rsid w:val="007634F9"/>
    <w:rsid w:val="00783836"/>
    <w:rsid w:val="007A7CAD"/>
    <w:rsid w:val="007B5FE5"/>
    <w:rsid w:val="0080025B"/>
    <w:rsid w:val="00877E0E"/>
    <w:rsid w:val="008A45D2"/>
    <w:rsid w:val="008C6D46"/>
    <w:rsid w:val="008D174B"/>
    <w:rsid w:val="008E2825"/>
    <w:rsid w:val="0091498B"/>
    <w:rsid w:val="0095239E"/>
    <w:rsid w:val="00957206"/>
    <w:rsid w:val="009A4D99"/>
    <w:rsid w:val="009C1772"/>
    <w:rsid w:val="009F07D5"/>
    <w:rsid w:val="00A15D38"/>
    <w:rsid w:val="00A35C97"/>
    <w:rsid w:val="00A42388"/>
    <w:rsid w:val="00A46CA6"/>
    <w:rsid w:val="00A55167"/>
    <w:rsid w:val="00A72B6E"/>
    <w:rsid w:val="00A863D4"/>
    <w:rsid w:val="00A94C68"/>
    <w:rsid w:val="00AC4F3E"/>
    <w:rsid w:val="00AF246E"/>
    <w:rsid w:val="00B23601"/>
    <w:rsid w:val="00B271D0"/>
    <w:rsid w:val="00B67D4C"/>
    <w:rsid w:val="00B712FB"/>
    <w:rsid w:val="00BC48A5"/>
    <w:rsid w:val="00BD1DF3"/>
    <w:rsid w:val="00BF4074"/>
    <w:rsid w:val="00C14905"/>
    <w:rsid w:val="00C27B8E"/>
    <w:rsid w:val="00C62ACA"/>
    <w:rsid w:val="00C732E9"/>
    <w:rsid w:val="00C76106"/>
    <w:rsid w:val="00CE4668"/>
    <w:rsid w:val="00D11DAD"/>
    <w:rsid w:val="00D415C0"/>
    <w:rsid w:val="00D41E97"/>
    <w:rsid w:val="00D45726"/>
    <w:rsid w:val="00DB58F2"/>
    <w:rsid w:val="00DE687E"/>
    <w:rsid w:val="00E266BC"/>
    <w:rsid w:val="00E4270F"/>
    <w:rsid w:val="00E808A2"/>
    <w:rsid w:val="00E87DD7"/>
    <w:rsid w:val="00EA67B1"/>
    <w:rsid w:val="00EB664B"/>
    <w:rsid w:val="00EC7420"/>
    <w:rsid w:val="00F26E53"/>
    <w:rsid w:val="00F462EF"/>
    <w:rsid w:val="00F66525"/>
    <w:rsid w:val="00F920A3"/>
    <w:rsid w:val="13CE7619"/>
    <w:rsid w:val="180A42AD"/>
    <w:rsid w:val="52E857BD"/>
    <w:rsid w:val="68AEE680"/>
    <w:rsid w:val="75D49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D4925D"/>
  <w15:chartTrackingRefBased/>
  <w15:docId w15:val="{FE7FB300-ABBE-4F89-B006-0B3D0200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074"/>
    <w:pPr>
      <w:ind w:left="720"/>
      <w:contextualSpacing/>
    </w:pPr>
  </w:style>
  <w:style w:type="character" w:styleId="Hyperlink">
    <w:name w:val="Hyperlink"/>
    <w:basedOn w:val="DefaultParagraphFont"/>
    <w:uiPriority w:val="99"/>
    <w:unhideWhenUsed/>
    <w:rsid w:val="003F1239"/>
    <w:rPr>
      <w:color w:val="0563C1" w:themeColor="hyperlink"/>
      <w:u w:val="single"/>
    </w:rPr>
  </w:style>
  <w:style w:type="character" w:styleId="UnresolvedMention">
    <w:name w:val="Unresolved Mention"/>
    <w:basedOn w:val="DefaultParagraphFont"/>
    <w:uiPriority w:val="99"/>
    <w:semiHidden/>
    <w:unhideWhenUsed/>
    <w:rsid w:val="003F1239"/>
    <w:rPr>
      <w:color w:val="605E5C"/>
      <w:shd w:val="clear" w:color="auto" w:fill="E1DFDD"/>
    </w:rPr>
  </w:style>
  <w:style w:type="character" w:styleId="CommentReference">
    <w:name w:val="annotation reference"/>
    <w:basedOn w:val="DefaultParagraphFont"/>
    <w:uiPriority w:val="99"/>
    <w:semiHidden/>
    <w:unhideWhenUsed/>
    <w:rsid w:val="00D45726"/>
    <w:rPr>
      <w:sz w:val="16"/>
      <w:szCs w:val="16"/>
    </w:rPr>
  </w:style>
  <w:style w:type="paragraph" w:styleId="CommentText">
    <w:name w:val="annotation text"/>
    <w:basedOn w:val="Normal"/>
    <w:link w:val="CommentTextChar"/>
    <w:uiPriority w:val="99"/>
    <w:unhideWhenUsed/>
    <w:rsid w:val="00D45726"/>
    <w:pPr>
      <w:spacing w:line="240" w:lineRule="auto"/>
    </w:pPr>
    <w:rPr>
      <w:sz w:val="20"/>
      <w:szCs w:val="20"/>
    </w:rPr>
  </w:style>
  <w:style w:type="character" w:customStyle="1" w:styleId="CommentTextChar">
    <w:name w:val="Comment Text Char"/>
    <w:basedOn w:val="DefaultParagraphFont"/>
    <w:link w:val="CommentText"/>
    <w:uiPriority w:val="99"/>
    <w:rsid w:val="00D45726"/>
    <w:rPr>
      <w:sz w:val="20"/>
      <w:szCs w:val="20"/>
    </w:rPr>
  </w:style>
  <w:style w:type="paragraph" w:styleId="CommentSubject">
    <w:name w:val="annotation subject"/>
    <w:basedOn w:val="CommentText"/>
    <w:next w:val="CommentText"/>
    <w:link w:val="CommentSubjectChar"/>
    <w:uiPriority w:val="99"/>
    <w:semiHidden/>
    <w:unhideWhenUsed/>
    <w:rsid w:val="00D45726"/>
    <w:rPr>
      <w:b/>
      <w:bCs/>
    </w:rPr>
  </w:style>
  <w:style w:type="character" w:customStyle="1" w:styleId="CommentSubjectChar">
    <w:name w:val="Comment Subject Char"/>
    <w:basedOn w:val="CommentTextChar"/>
    <w:link w:val="CommentSubject"/>
    <w:uiPriority w:val="99"/>
    <w:semiHidden/>
    <w:rsid w:val="00D45726"/>
    <w:rPr>
      <w:b/>
      <w:bCs/>
      <w:sz w:val="20"/>
      <w:szCs w:val="20"/>
    </w:rPr>
  </w:style>
  <w:style w:type="paragraph" w:styleId="Header">
    <w:name w:val="header"/>
    <w:basedOn w:val="Normal"/>
    <w:link w:val="HeaderChar"/>
    <w:uiPriority w:val="99"/>
    <w:unhideWhenUsed/>
    <w:rsid w:val="00EA6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7B1"/>
  </w:style>
  <w:style w:type="paragraph" w:styleId="Footer">
    <w:name w:val="footer"/>
    <w:basedOn w:val="Normal"/>
    <w:link w:val="FooterChar"/>
    <w:uiPriority w:val="99"/>
    <w:unhideWhenUsed/>
    <w:rsid w:val="00EA6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ky.gov/curriculum/standards/kyacadstand/Documents/Kentucky_Academic_Standards_Mathematics.pdf" TargetMode="External"/><Relationship Id="rId18" Type="http://schemas.openxmlformats.org/officeDocument/2006/relationships/hyperlink" Target="https://www.education.ky.gov/curriculum/standards/kyacadstand/Documents/Kentucky_Academic_Standards_Mathematic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education.ky.gov/curriculum/standards/kyacadstand/Documents/Kentucky_Academic_Standards_Mathematics.pdf" TargetMode="External"/><Relationship Id="rId17" Type="http://schemas.openxmlformats.org/officeDocument/2006/relationships/hyperlink" Target="https://www.education.ky.gov/curriculum/standards/kyacadstand/Documents/Kentucky_Academic_Standards_Mathematics.pdf" TargetMode="External"/><Relationship Id="rId2" Type="http://schemas.openxmlformats.org/officeDocument/2006/relationships/customXml" Target="../customXml/item2.xml"/><Relationship Id="rId16" Type="http://schemas.openxmlformats.org/officeDocument/2006/relationships/hyperlink" Target="https://www.education.ky.gov/curriculum/standards/kyacadstand/Documents/Kentucky_Academic_Standards_Mathematic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ky.gov/curriculum/standards/kyacadstand/Documents/Kentucky_Academic_Standards_Mathematics.pdf" TargetMode="External"/><Relationship Id="rId5" Type="http://schemas.openxmlformats.org/officeDocument/2006/relationships/styles" Target="styles.xml"/><Relationship Id="rId15" Type="http://schemas.openxmlformats.org/officeDocument/2006/relationships/hyperlink" Target="https://www.education.ky.gov/curriculum/standards/kyacadstand/Documents/Kentucky_Academic_Standards_Mathematics.pdf" TargetMode="External"/><Relationship Id="rId23" Type="http://schemas.openxmlformats.org/officeDocument/2006/relationships/customXml" Target="../customXml/item4.xml"/><Relationship Id="rId10" Type="http://schemas.openxmlformats.org/officeDocument/2006/relationships/hyperlink" Target="https://education.ky.gov/curriculum/standards/kyacadstand/Documents/Math_Lesson_Internalization_Protocol.pdf" TargetMode="External"/><Relationship Id="rId19" Type="http://schemas.openxmlformats.org/officeDocument/2006/relationships/hyperlink" Target="https://www.education.ky.gov/curriculum/standards/kyacadstand/Documents/Kentucky_Academic_Standards_Mathematic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ion.ky.gov/curriculum/standards/kyacadstand/Documents/Kentucky_Academic_Standards_Mathematics.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2023-07-25T13:01:19+00:00</Publication_x0020_Date>
    <Audience1 xmlns="3a62de7d-ba57-4f43-9dae-9623ba637be0"/>
    <_dlc_DocId xmlns="3a62de7d-ba57-4f43-9dae-9623ba637be0">KYED-536-1822</_dlc_DocId>
    <_dlc_DocIdUrl xmlns="3a62de7d-ba57-4f43-9dae-9623ba637be0">
      <Url>https://www.education.ky.gov/curriculum/standards/kyacadstand/_layouts/15/DocIdRedir.aspx?ID=KYED-536-1822</Url>
      <Description>KYED-536-1822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3A547F-7A14-4396-98C0-FC677520B127}">
  <ds:schemaRefs>
    <ds:schemaRef ds:uri="http://schemas.microsoft.com/sharepoint/v3/contenttype/forms"/>
  </ds:schemaRefs>
</ds:datastoreItem>
</file>

<file path=customXml/itemProps2.xml><?xml version="1.0" encoding="utf-8"?>
<ds:datastoreItem xmlns:ds="http://schemas.openxmlformats.org/officeDocument/2006/customXml" ds:itemID="{5A715BD2-33BC-4760-AFE5-2BC58B60F7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424571-AC62-47EF-92BB-DB419E259F20}"/>
</file>

<file path=customXml/itemProps4.xml><?xml version="1.0" encoding="utf-8"?>
<ds:datastoreItem xmlns:ds="http://schemas.openxmlformats.org/officeDocument/2006/customXml" ds:itemID="{A4BB91CE-2278-4EE4-B927-B8ADC921335E}"/>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Misty - Division of Academic Program Standards</dc:creator>
  <cp:keywords/>
  <dc:description/>
  <cp:lastModifiedBy>Higgins, Misty - Division of Academic Program Standards</cp:lastModifiedBy>
  <cp:revision>19</cp:revision>
  <dcterms:created xsi:type="dcterms:W3CDTF">2024-09-26T13:14:00Z</dcterms:created>
  <dcterms:modified xsi:type="dcterms:W3CDTF">2025-02-17T17:58:00Z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c8462a37-a140-4d5e-8871-7282c4a0a00c</vt:lpwstr>
  </property>
  <property fmtid="{D5CDD505-2E9C-101B-9397-08002B2CF9AE}" pid="4" name="MSIP_Label_eb544694-0027-44fa-bee4-2648c0363f9d_Enabled">
    <vt:lpwstr>true</vt:lpwstr>
  </property>
  <property fmtid="{D5CDD505-2E9C-101B-9397-08002B2CF9AE}" pid="5" name="MSIP_Label_eb544694-0027-44fa-bee4-2648c0363f9d_SetDate">
    <vt:lpwstr>2024-08-12T12:38:01Z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107af261-80b1-47a8-a064-079e81799c89</vt:lpwstr>
  </property>
  <property fmtid="{D5CDD505-2E9C-101B-9397-08002B2CF9AE}" pid="10" name="MSIP_Label_eb544694-0027-44fa-bee4-2648c0363f9d_ContentBits">
    <vt:lpwstr>0</vt:lpwstr>
  </property>
</Properties>
</file>