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6AF7" w14:textId="77777777" w:rsidR="003B51B7" w:rsidRPr="00D21D0D" w:rsidRDefault="00E41BC6" w:rsidP="00D21D0D">
      <w:pPr>
        <w:pStyle w:val="BodyText"/>
        <w:rPr>
          <w:b/>
        </w:rPr>
      </w:pPr>
      <w:r w:rsidRPr="00D21D0D">
        <w:rPr>
          <w:b/>
          <w:w w:val="105"/>
        </w:rPr>
        <w:t>Through-Course Tasks in the Science Assessment System: An Opportunity for Calibrating Expectations</w:t>
      </w:r>
    </w:p>
    <w:p w14:paraId="3C855E4C" w14:textId="77777777" w:rsidR="003B51B7" w:rsidRDefault="00E41BC6">
      <w:pPr>
        <w:pStyle w:val="BodyText"/>
        <w:spacing w:before="150" w:line="249" w:lineRule="auto"/>
        <w:ind w:left="100" w:right="133"/>
      </w:pPr>
      <w:r>
        <w:rPr>
          <w:w w:val="105"/>
        </w:rPr>
        <w:t>Despite the very best efforts of every individual teacher working to provide excellent science learning experiences, working separately can have the unintended consequence of holding different expectations for attainment of the standards upon which the learning is based.</w:t>
      </w:r>
    </w:p>
    <w:p w14:paraId="637F57E8" w14:textId="77777777" w:rsidR="003B51B7" w:rsidRDefault="003B51B7">
      <w:pPr>
        <w:pStyle w:val="BodyText"/>
        <w:spacing w:before="7"/>
        <w:rPr>
          <w:sz w:val="22"/>
        </w:rPr>
      </w:pPr>
    </w:p>
    <w:p w14:paraId="275C585E" w14:textId="77777777" w:rsidR="003B51B7" w:rsidRDefault="00E41BC6">
      <w:pPr>
        <w:pStyle w:val="BodyText"/>
        <w:spacing w:line="252" w:lineRule="auto"/>
        <w:ind w:left="100" w:right="133"/>
      </w:pPr>
      <w:r>
        <w:rPr>
          <w:w w:val="105"/>
        </w:rPr>
        <w:t>The Through course task (TCT) component of the science assessment system is an answer to this. It provides a structured process around common tasks that facilitates teachers coming together to discuss student work - and the instructional practices that support the production of that work- as a means to calibrating interpretations of the standards and expectations for student demonstration of learning.</w:t>
      </w:r>
    </w:p>
    <w:p w14:paraId="1CB6D602" w14:textId="77777777" w:rsidR="003B51B7" w:rsidRDefault="003B51B7">
      <w:pPr>
        <w:pStyle w:val="BodyText"/>
        <w:rPr>
          <w:sz w:val="24"/>
        </w:rPr>
      </w:pPr>
    </w:p>
    <w:p w14:paraId="2D3CC59F" w14:textId="77777777" w:rsidR="003B51B7" w:rsidRDefault="003B51B7">
      <w:pPr>
        <w:pStyle w:val="BodyText"/>
        <w:spacing w:before="10"/>
        <w:rPr>
          <w:sz w:val="23"/>
        </w:rPr>
      </w:pPr>
    </w:p>
    <w:p w14:paraId="0F7635C3" w14:textId="77777777" w:rsidR="003B51B7" w:rsidRDefault="00E41BC6">
      <w:pPr>
        <w:spacing w:line="252" w:lineRule="auto"/>
        <w:ind w:left="820" w:right="133"/>
        <w:rPr>
          <w:i/>
          <w:sz w:val="21"/>
        </w:rPr>
      </w:pPr>
      <w:r>
        <w:rPr>
          <w:i/>
          <w:color w:val="494949"/>
          <w:w w:val="105"/>
          <w:sz w:val="21"/>
        </w:rPr>
        <w:t>“Most educators who look at student work in a collaborative process hope to learn about the effectiveness of their instruction, better understand students' learning and development, develop more effective curriculum and assessment, and find ways to help students do higher quality work….Bringing samples of student work to the table with your colleagues, looking closely at them, and addressing important questions about teaching and learning has the potential to deepen teachers' understanding of the more traditional -- as well as the innovative -- work they do with students in the classroom."</w:t>
      </w:r>
    </w:p>
    <w:p w14:paraId="44F93AE1" w14:textId="77777777" w:rsidR="003B51B7" w:rsidRDefault="003B51B7">
      <w:pPr>
        <w:pStyle w:val="BodyText"/>
        <w:spacing w:before="2"/>
        <w:rPr>
          <w:i/>
          <w:sz w:val="24"/>
        </w:rPr>
      </w:pPr>
    </w:p>
    <w:p w14:paraId="285496B1" w14:textId="77777777" w:rsidR="003B51B7" w:rsidRDefault="00E41BC6" w:rsidP="00D21D0D">
      <w:pPr>
        <w:ind w:left="3595"/>
        <w:jc w:val="right"/>
        <w:rPr>
          <w:i/>
          <w:sz w:val="17"/>
        </w:rPr>
      </w:pPr>
      <w:r>
        <w:rPr>
          <w:i/>
          <w:color w:val="494949"/>
          <w:w w:val="105"/>
          <w:sz w:val="17"/>
        </w:rPr>
        <w:t>(</w:t>
      </w:r>
      <w:hyperlink r:id="rId7" w:history="1">
        <w:r w:rsidRPr="00EA67E1">
          <w:rPr>
            <w:rStyle w:val="Hyperlink"/>
            <w:i/>
            <w:w w:val="105"/>
            <w:sz w:val="17"/>
          </w:rPr>
          <w:t>Education World, 2012</w:t>
        </w:r>
      </w:hyperlink>
      <w:r>
        <w:rPr>
          <w:i/>
          <w:color w:val="494949"/>
          <w:w w:val="105"/>
          <w:sz w:val="17"/>
        </w:rPr>
        <w:t>,)</w:t>
      </w:r>
    </w:p>
    <w:p w14:paraId="5025CCAE" w14:textId="77777777" w:rsidR="003B51B7" w:rsidRDefault="003B51B7">
      <w:pPr>
        <w:pStyle w:val="BodyText"/>
        <w:spacing w:before="4"/>
        <w:rPr>
          <w:i/>
          <w:sz w:val="17"/>
        </w:rPr>
      </w:pPr>
    </w:p>
    <w:p w14:paraId="552A1AE2" w14:textId="77777777" w:rsidR="003B51B7" w:rsidRDefault="00E41BC6">
      <w:pPr>
        <w:pStyle w:val="BodyText"/>
        <w:spacing w:before="96"/>
        <w:ind w:left="100"/>
      </w:pPr>
      <w:r>
        <w:rPr>
          <w:w w:val="105"/>
        </w:rPr>
        <w:t xml:space="preserve">The </w:t>
      </w:r>
      <w:r w:rsidR="00274F9F">
        <w:rPr>
          <w:w w:val="105"/>
        </w:rPr>
        <w:t>TCT</w:t>
      </w:r>
      <w:r>
        <w:rPr>
          <w:w w:val="105"/>
        </w:rPr>
        <w:t xml:space="preserve"> component of the science assessment system is a </w:t>
      </w:r>
      <w:r w:rsidR="00274F9F">
        <w:rPr>
          <w:w w:val="105"/>
        </w:rPr>
        <w:t>three-</w:t>
      </w:r>
      <w:r>
        <w:rPr>
          <w:w w:val="105"/>
        </w:rPr>
        <w:t xml:space="preserve">step </w:t>
      </w:r>
      <w:r>
        <w:rPr>
          <w:i/>
          <w:w w:val="105"/>
        </w:rPr>
        <w:t>process</w:t>
      </w:r>
      <w:r>
        <w:rPr>
          <w:w w:val="105"/>
        </w:rPr>
        <w:t>.</w:t>
      </w:r>
    </w:p>
    <w:p w14:paraId="4B562A9D" w14:textId="77777777" w:rsidR="003B51B7" w:rsidRDefault="00E41BC6">
      <w:pPr>
        <w:pStyle w:val="ListParagraph"/>
        <w:numPr>
          <w:ilvl w:val="0"/>
          <w:numId w:val="2"/>
        </w:numPr>
        <w:tabs>
          <w:tab w:val="left" w:pos="820"/>
        </w:tabs>
        <w:spacing w:before="186" w:line="249" w:lineRule="auto"/>
        <w:ind w:right="276"/>
        <w:rPr>
          <w:sz w:val="21"/>
          <w:u w:val="none"/>
        </w:rPr>
      </w:pPr>
      <w:r>
        <w:rPr>
          <w:w w:val="105"/>
          <w:sz w:val="21"/>
        </w:rPr>
        <w:t>Study/plan.</w:t>
      </w:r>
      <w:r>
        <w:rPr>
          <w:spacing w:val="-5"/>
          <w:w w:val="105"/>
          <w:sz w:val="21"/>
          <w:u w:val="none"/>
        </w:rPr>
        <w:t xml:space="preserve"> </w:t>
      </w:r>
      <w:r>
        <w:rPr>
          <w:w w:val="105"/>
          <w:sz w:val="21"/>
          <w:u w:val="none"/>
        </w:rPr>
        <w:t>Upon</w:t>
      </w:r>
      <w:r>
        <w:rPr>
          <w:spacing w:val="-4"/>
          <w:w w:val="105"/>
          <w:sz w:val="21"/>
          <w:u w:val="none"/>
        </w:rPr>
        <w:t xml:space="preserve"> </w:t>
      </w:r>
      <w:r>
        <w:rPr>
          <w:w w:val="105"/>
          <w:sz w:val="21"/>
          <w:u w:val="none"/>
        </w:rPr>
        <w:t>selecting</w:t>
      </w:r>
      <w:r>
        <w:rPr>
          <w:spacing w:val="-4"/>
          <w:w w:val="105"/>
          <w:sz w:val="21"/>
          <w:u w:val="none"/>
        </w:rPr>
        <w:t xml:space="preserve"> </w:t>
      </w:r>
      <w:r>
        <w:rPr>
          <w:w w:val="105"/>
          <w:sz w:val="21"/>
          <w:u w:val="none"/>
        </w:rPr>
        <w:t>a</w:t>
      </w:r>
      <w:r>
        <w:rPr>
          <w:spacing w:val="-4"/>
          <w:w w:val="105"/>
          <w:sz w:val="21"/>
          <w:u w:val="none"/>
        </w:rPr>
        <w:t xml:space="preserve"> </w:t>
      </w:r>
      <w:r>
        <w:rPr>
          <w:w w:val="105"/>
          <w:sz w:val="21"/>
          <w:u w:val="none"/>
        </w:rPr>
        <w:t>rich</w:t>
      </w:r>
      <w:r>
        <w:rPr>
          <w:spacing w:val="-4"/>
          <w:w w:val="105"/>
          <w:sz w:val="21"/>
          <w:u w:val="none"/>
        </w:rPr>
        <w:t xml:space="preserve"> </w:t>
      </w:r>
      <w:r>
        <w:rPr>
          <w:w w:val="105"/>
          <w:sz w:val="21"/>
          <w:u w:val="none"/>
        </w:rPr>
        <w:t>task,</w:t>
      </w:r>
      <w:r>
        <w:rPr>
          <w:spacing w:val="-5"/>
          <w:w w:val="105"/>
          <w:sz w:val="21"/>
          <w:u w:val="none"/>
        </w:rPr>
        <w:t xml:space="preserve"> </w:t>
      </w:r>
      <w:r>
        <w:rPr>
          <w:w w:val="105"/>
          <w:sz w:val="21"/>
          <w:u w:val="none"/>
        </w:rPr>
        <w:t>teams</w:t>
      </w:r>
      <w:r>
        <w:rPr>
          <w:spacing w:val="-4"/>
          <w:w w:val="105"/>
          <w:sz w:val="21"/>
          <w:u w:val="none"/>
        </w:rPr>
        <w:t xml:space="preserve"> </w:t>
      </w:r>
      <w:r>
        <w:rPr>
          <w:w w:val="105"/>
          <w:sz w:val="21"/>
          <w:u w:val="none"/>
        </w:rPr>
        <w:t>of</w:t>
      </w:r>
      <w:r>
        <w:rPr>
          <w:spacing w:val="-5"/>
          <w:w w:val="105"/>
          <w:sz w:val="21"/>
          <w:u w:val="none"/>
        </w:rPr>
        <w:t xml:space="preserve"> </w:t>
      </w:r>
      <w:r>
        <w:rPr>
          <w:w w:val="105"/>
          <w:sz w:val="21"/>
          <w:u w:val="none"/>
        </w:rPr>
        <w:t>teachers</w:t>
      </w:r>
      <w:r>
        <w:rPr>
          <w:spacing w:val="-5"/>
          <w:w w:val="105"/>
          <w:sz w:val="21"/>
          <w:u w:val="none"/>
        </w:rPr>
        <w:t xml:space="preserve"> </w:t>
      </w:r>
      <w:r>
        <w:rPr>
          <w:w w:val="105"/>
          <w:sz w:val="21"/>
          <w:u w:val="none"/>
        </w:rPr>
        <w:t>(in</w:t>
      </w:r>
      <w:r>
        <w:rPr>
          <w:spacing w:val="-4"/>
          <w:w w:val="105"/>
          <w:sz w:val="21"/>
          <w:u w:val="none"/>
        </w:rPr>
        <w:t xml:space="preserve"> </w:t>
      </w:r>
      <w:r>
        <w:rPr>
          <w:w w:val="105"/>
          <w:sz w:val="21"/>
          <w:u w:val="none"/>
        </w:rPr>
        <w:t>the</w:t>
      </w:r>
      <w:r>
        <w:rPr>
          <w:spacing w:val="-4"/>
          <w:w w:val="105"/>
          <w:sz w:val="21"/>
          <w:u w:val="none"/>
        </w:rPr>
        <w:t xml:space="preserve"> </w:t>
      </w:r>
      <w:r>
        <w:rPr>
          <w:w w:val="105"/>
          <w:sz w:val="21"/>
          <w:u w:val="none"/>
        </w:rPr>
        <w:t>school,</w:t>
      </w:r>
      <w:r>
        <w:rPr>
          <w:spacing w:val="-5"/>
          <w:w w:val="105"/>
          <w:sz w:val="21"/>
          <w:u w:val="none"/>
        </w:rPr>
        <w:t xml:space="preserve"> </w:t>
      </w:r>
      <w:r>
        <w:rPr>
          <w:w w:val="105"/>
          <w:sz w:val="21"/>
          <w:u w:val="none"/>
        </w:rPr>
        <w:t>district,</w:t>
      </w:r>
      <w:r>
        <w:rPr>
          <w:spacing w:val="-5"/>
          <w:w w:val="105"/>
          <w:sz w:val="21"/>
          <w:u w:val="none"/>
        </w:rPr>
        <w:t xml:space="preserve"> </w:t>
      </w:r>
      <w:r>
        <w:rPr>
          <w:w w:val="105"/>
          <w:sz w:val="21"/>
          <w:u w:val="none"/>
        </w:rPr>
        <w:t>or</w:t>
      </w:r>
      <w:r>
        <w:rPr>
          <w:spacing w:val="-5"/>
          <w:w w:val="105"/>
          <w:sz w:val="21"/>
          <w:u w:val="none"/>
        </w:rPr>
        <w:t xml:space="preserve"> </w:t>
      </w:r>
      <w:r>
        <w:rPr>
          <w:w w:val="105"/>
          <w:sz w:val="21"/>
          <w:u w:val="none"/>
        </w:rPr>
        <w:t>perhaps</w:t>
      </w:r>
      <w:r>
        <w:rPr>
          <w:spacing w:val="-4"/>
          <w:w w:val="105"/>
          <w:sz w:val="21"/>
          <w:u w:val="none"/>
        </w:rPr>
        <w:t xml:space="preserve"> </w:t>
      </w:r>
      <w:r>
        <w:rPr>
          <w:w w:val="105"/>
          <w:sz w:val="21"/>
          <w:u w:val="none"/>
        </w:rPr>
        <w:t>even across other schools and districts electronically) come together to study the task</w:t>
      </w:r>
      <w:r w:rsidR="00274F9F">
        <w:rPr>
          <w:w w:val="105"/>
          <w:sz w:val="21"/>
          <w:u w:val="none"/>
        </w:rPr>
        <w:t xml:space="preserve">; </w:t>
      </w:r>
      <w:r>
        <w:rPr>
          <w:w w:val="105"/>
          <w:sz w:val="21"/>
          <w:u w:val="none"/>
        </w:rPr>
        <w:t>to analyze it against the intent of the standards and collectively understand what it is asking students to</w:t>
      </w:r>
      <w:r>
        <w:rPr>
          <w:spacing w:val="-38"/>
          <w:w w:val="105"/>
          <w:sz w:val="21"/>
          <w:u w:val="none"/>
        </w:rPr>
        <w:t xml:space="preserve"> </w:t>
      </w:r>
      <w:r>
        <w:rPr>
          <w:w w:val="105"/>
          <w:sz w:val="21"/>
          <w:u w:val="none"/>
        </w:rPr>
        <w:t>do.</w:t>
      </w:r>
    </w:p>
    <w:p w14:paraId="43ADB30F" w14:textId="77777777" w:rsidR="003B51B7" w:rsidRDefault="003B51B7">
      <w:pPr>
        <w:pStyle w:val="BodyText"/>
        <w:spacing w:before="6"/>
        <w:rPr>
          <w:sz w:val="22"/>
        </w:rPr>
      </w:pPr>
    </w:p>
    <w:p w14:paraId="79BB211C" w14:textId="77777777" w:rsidR="003B51B7" w:rsidRDefault="00E41BC6">
      <w:pPr>
        <w:pStyle w:val="BodyText"/>
        <w:spacing w:line="249" w:lineRule="auto"/>
        <w:ind w:left="820" w:right="74"/>
      </w:pPr>
      <w:r>
        <w:rPr>
          <w:w w:val="105"/>
        </w:rPr>
        <w:t>The best first step will be to actually do the task. Pulling out the Framework (</w:t>
      </w:r>
      <w:r>
        <w:rPr>
          <w:i/>
          <w:w w:val="105"/>
        </w:rPr>
        <w:t>A Framework for K- 12 Science Education</w:t>
      </w:r>
      <w:r>
        <w:rPr>
          <w:w w:val="105"/>
        </w:rPr>
        <w:t>, National Research Council) and the progressions for the practices and cross-cutting concepts will help teams begin to understand criteria for success – what they will expect of their students. This begins the process of calibrating expectations against the intent of the standards.</w:t>
      </w:r>
    </w:p>
    <w:p w14:paraId="1AF22722" w14:textId="77777777" w:rsidR="003B51B7" w:rsidRDefault="003B51B7">
      <w:pPr>
        <w:pStyle w:val="BodyText"/>
        <w:spacing w:before="8"/>
        <w:rPr>
          <w:sz w:val="22"/>
        </w:rPr>
      </w:pPr>
    </w:p>
    <w:p w14:paraId="56D415D9" w14:textId="77777777" w:rsidR="003B51B7" w:rsidRDefault="00E41BC6">
      <w:pPr>
        <w:pStyle w:val="BodyText"/>
        <w:spacing w:line="249" w:lineRule="auto"/>
        <w:ind w:left="820" w:right="133"/>
      </w:pPr>
      <w:r>
        <w:rPr>
          <w:w w:val="105"/>
        </w:rPr>
        <w:t xml:space="preserve">Teams will consider how best to present the task to their students- and generate potential probing or supporting questions. </w:t>
      </w:r>
      <w:r w:rsidR="00274F9F">
        <w:rPr>
          <w:w w:val="105"/>
        </w:rPr>
        <w:t>It is important to r</w:t>
      </w:r>
      <w:r>
        <w:rPr>
          <w:w w:val="105"/>
        </w:rPr>
        <w:t>emember</w:t>
      </w:r>
      <w:r w:rsidR="00274F9F">
        <w:rPr>
          <w:w w:val="105"/>
        </w:rPr>
        <w:t xml:space="preserve"> that t</w:t>
      </w:r>
      <w:r>
        <w:rPr>
          <w:w w:val="105"/>
        </w:rPr>
        <w:t>his isn’t about administering a ‘standardized’ assessment</w:t>
      </w:r>
      <w:r w:rsidR="00274F9F">
        <w:rPr>
          <w:w w:val="105"/>
        </w:rPr>
        <w:t xml:space="preserve">; </w:t>
      </w:r>
      <w:r>
        <w:rPr>
          <w:w w:val="105"/>
        </w:rPr>
        <w:t>it is about facilitating student learning.</w:t>
      </w:r>
    </w:p>
    <w:p w14:paraId="2156FF26" w14:textId="77777777" w:rsidR="003B51B7" w:rsidRDefault="003B51B7">
      <w:pPr>
        <w:pStyle w:val="BodyText"/>
        <w:spacing w:before="9"/>
      </w:pPr>
    </w:p>
    <w:p w14:paraId="21871C10" w14:textId="77777777" w:rsidR="003B51B7" w:rsidRDefault="00E41BC6">
      <w:pPr>
        <w:pStyle w:val="ListParagraph"/>
        <w:numPr>
          <w:ilvl w:val="0"/>
          <w:numId w:val="2"/>
        </w:numPr>
        <w:tabs>
          <w:tab w:val="left" w:pos="820"/>
        </w:tabs>
        <w:spacing w:before="1" w:line="247" w:lineRule="auto"/>
        <w:ind w:right="198"/>
        <w:rPr>
          <w:sz w:val="24"/>
          <w:u w:val="none"/>
        </w:rPr>
      </w:pPr>
      <w:r>
        <w:rPr>
          <w:w w:val="105"/>
          <w:sz w:val="21"/>
        </w:rPr>
        <w:t>Facilitate</w:t>
      </w:r>
      <w:r>
        <w:rPr>
          <w:w w:val="105"/>
          <w:sz w:val="21"/>
          <w:u w:val="none"/>
        </w:rPr>
        <w:t>. Each teacher will facilitate the task with his or her students, keeping in mind what experiences</w:t>
      </w:r>
      <w:r>
        <w:rPr>
          <w:spacing w:val="-5"/>
          <w:w w:val="105"/>
          <w:sz w:val="21"/>
          <w:u w:val="none"/>
        </w:rPr>
        <w:t xml:space="preserve"> </w:t>
      </w:r>
      <w:r>
        <w:rPr>
          <w:w w:val="105"/>
          <w:sz w:val="21"/>
          <w:u w:val="none"/>
        </w:rPr>
        <w:t>students</w:t>
      </w:r>
      <w:r>
        <w:rPr>
          <w:spacing w:val="-5"/>
          <w:w w:val="105"/>
          <w:sz w:val="21"/>
          <w:u w:val="none"/>
        </w:rPr>
        <w:t xml:space="preserve"> </w:t>
      </w:r>
      <w:r>
        <w:rPr>
          <w:w w:val="105"/>
          <w:sz w:val="21"/>
          <w:u w:val="none"/>
        </w:rPr>
        <w:t>have</w:t>
      </w:r>
      <w:r>
        <w:rPr>
          <w:spacing w:val="-4"/>
          <w:w w:val="105"/>
          <w:sz w:val="21"/>
          <w:u w:val="none"/>
        </w:rPr>
        <w:t xml:space="preserve"> </w:t>
      </w:r>
      <w:r>
        <w:rPr>
          <w:w w:val="105"/>
          <w:sz w:val="21"/>
          <w:u w:val="none"/>
        </w:rPr>
        <w:t>already</w:t>
      </w:r>
      <w:r>
        <w:rPr>
          <w:spacing w:val="-4"/>
          <w:w w:val="105"/>
          <w:sz w:val="21"/>
          <w:u w:val="none"/>
        </w:rPr>
        <w:t xml:space="preserve"> </w:t>
      </w:r>
      <w:r>
        <w:rPr>
          <w:w w:val="105"/>
          <w:sz w:val="21"/>
          <w:u w:val="none"/>
        </w:rPr>
        <w:t>had</w:t>
      </w:r>
      <w:r>
        <w:rPr>
          <w:spacing w:val="-4"/>
          <w:w w:val="105"/>
          <w:sz w:val="21"/>
          <w:u w:val="none"/>
        </w:rPr>
        <w:t xml:space="preserve"> </w:t>
      </w:r>
      <w:r>
        <w:rPr>
          <w:w w:val="105"/>
          <w:sz w:val="21"/>
          <w:u w:val="none"/>
        </w:rPr>
        <w:t>to</w:t>
      </w:r>
      <w:r>
        <w:rPr>
          <w:spacing w:val="-4"/>
          <w:w w:val="105"/>
          <w:sz w:val="21"/>
          <w:u w:val="none"/>
        </w:rPr>
        <w:t xml:space="preserve"> </w:t>
      </w:r>
      <w:r>
        <w:rPr>
          <w:w w:val="105"/>
          <w:sz w:val="21"/>
          <w:u w:val="none"/>
        </w:rPr>
        <w:t>apply</w:t>
      </w:r>
      <w:r>
        <w:rPr>
          <w:spacing w:val="-4"/>
          <w:w w:val="105"/>
          <w:sz w:val="21"/>
          <w:u w:val="none"/>
        </w:rPr>
        <w:t xml:space="preserve"> </w:t>
      </w:r>
      <w:r>
        <w:rPr>
          <w:w w:val="105"/>
          <w:sz w:val="21"/>
          <w:u w:val="none"/>
        </w:rPr>
        <w:t>their</w:t>
      </w:r>
      <w:r>
        <w:rPr>
          <w:spacing w:val="-5"/>
          <w:w w:val="105"/>
          <w:sz w:val="21"/>
          <w:u w:val="none"/>
        </w:rPr>
        <w:t xml:space="preserve"> </w:t>
      </w:r>
      <w:r>
        <w:rPr>
          <w:w w:val="105"/>
          <w:sz w:val="21"/>
          <w:u w:val="none"/>
        </w:rPr>
        <w:t>science</w:t>
      </w:r>
      <w:r>
        <w:rPr>
          <w:spacing w:val="-3"/>
          <w:w w:val="105"/>
          <w:sz w:val="21"/>
          <w:u w:val="none"/>
        </w:rPr>
        <w:t xml:space="preserve"> </w:t>
      </w:r>
      <w:r>
        <w:rPr>
          <w:w w:val="105"/>
          <w:sz w:val="21"/>
          <w:u w:val="none"/>
        </w:rPr>
        <w:t>understandings</w:t>
      </w:r>
      <w:r>
        <w:rPr>
          <w:spacing w:val="-4"/>
          <w:w w:val="105"/>
          <w:sz w:val="21"/>
          <w:u w:val="none"/>
        </w:rPr>
        <w:t xml:space="preserve"> </w:t>
      </w:r>
      <w:r>
        <w:rPr>
          <w:w w:val="105"/>
          <w:sz w:val="21"/>
          <w:u w:val="none"/>
        </w:rPr>
        <w:t>and</w:t>
      </w:r>
      <w:r>
        <w:rPr>
          <w:spacing w:val="-4"/>
          <w:w w:val="105"/>
          <w:sz w:val="21"/>
          <w:u w:val="none"/>
        </w:rPr>
        <w:t xml:space="preserve"> </w:t>
      </w:r>
      <w:r>
        <w:rPr>
          <w:w w:val="105"/>
          <w:sz w:val="21"/>
          <w:u w:val="none"/>
        </w:rPr>
        <w:t>skills</w:t>
      </w:r>
      <w:r>
        <w:rPr>
          <w:spacing w:val="-5"/>
          <w:w w:val="105"/>
          <w:sz w:val="21"/>
          <w:u w:val="none"/>
        </w:rPr>
        <w:t xml:space="preserve"> </w:t>
      </w:r>
      <w:r>
        <w:rPr>
          <w:w w:val="105"/>
          <w:sz w:val="21"/>
          <w:u w:val="none"/>
        </w:rPr>
        <w:t>in</w:t>
      </w:r>
      <w:r>
        <w:rPr>
          <w:spacing w:val="-4"/>
          <w:w w:val="105"/>
          <w:sz w:val="21"/>
          <w:u w:val="none"/>
        </w:rPr>
        <w:t xml:space="preserve"> </w:t>
      </w:r>
      <w:r>
        <w:rPr>
          <w:w w:val="105"/>
          <w:sz w:val="21"/>
          <w:u w:val="none"/>
        </w:rPr>
        <w:t>order</w:t>
      </w:r>
      <w:r>
        <w:rPr>
          <w:spacing w:val="-5"/>
          <w:w w:val="105"/>
          <w:sz w:val="21"/>
          <w:u w:val="none"/>
        </w:rPr>
        <w:t xml:space="preserve"> </w:t>
      </w:r>
      <w:r>
        <w:rPr>
          <w:w w:val="105"/>
          <w:sz w:val="21"/>
          <w:u w:val="none"/>
        </w:rPr>
        <w:t>to activate prior learning.</w:t>
      </w:r>
    </w:p>
    <w:p w14:paraId="574C61AF" w14:textId="77777777" w:rsidR="003B51B7" w:rsidRDefault="003B51B7">
      <w:pPr>
        <w:pStyle w:val="BodyText"/>
        <w:spacing w:before="2"/>
        <w:rPr>
          <w:sz w:val="24"/>
        </w:rPr>
      </w:pPr>
    </w:p>
    <w:p w14:paraId="284C688B" w14:textId="77777777" w:rsidR="003B51B7" w:rsidRDefault="00E41BC6">
      <w:pPr>
        <w:pStyle w:val="BodyText"/>
        <w:spacing w:line="273" w:lineRule="auto"/>
        <w:ind w:left="820" w:right="196"/>
        <w:jc w:val="both"/>
      </w:pPr>
      <w:r>
        <w:rPr>
          <w:w w:val="105"/>
        </w:rPr>
        <w:t>As</w:t>
      </w:r>
      <w:r>
        <w:rPr>
          <w:spacing w:val="-3"/>
          <w:w w:val="105"/>
        </w:rPr>
        <w:t xml:space="preserve"> </w:t>
      </w:r>
      <w:r>
        <w:rPr>
          <w:w w:val="105"/>
        </w:rPr>
        <w:t>the</w:t>
      </w:r>
      <w:r>
        <w:rPr>
          <w:spacing w:val="-3"/>
          <w:w w:val="105"/>
        </w:rPr>
        <w:t xml:space="preserve"> </w:t>
      </w:r>
      <w:r>
        <w:rPr>
          <w:w w:val="105"/>
        </w:rPr>
        <w:t>students</w:t>
      </w:r>
      <w:r>
        <w:rPr>
          <w:spacing w:val="-3"/>
          <w:w w:val="105"/>
        </w:rPr>
        <w:t xml:space="preserve"> </w:t>
      </w:r>
      <w:r>
        <w:rPr>
          <w:w w:val="105"/>
        </w:rPr>
        <w:t>tackle</w:t>
      </w:r>
      <w:r>
        <w:rPr>
          <w:spacing w:val="-3"/>
          <w:w w:val="105"/>
        </w:rPr>
        <w:t xml:space="preserve"> </w:t>
      </w:r>
      <w:r>
        <w:rPr>
          <w:w w:val="105"/>
        </w:rPr>
        <w:t>the</w:t>
      </w:r>
      <w:r>
        <w:rPr>
          <w:spacing w:val="-3"/>
          <w:w w:val="105"/>
        </w:rPr>
        <w:t xml:space="preserve"> </w:t>
      </w:r>
      <w:r>
        <w:rPr>
          <w:w w:val="105"/>
        </w:rPr>
        <w:t>task,</w:t>
      </w:r>
      <w:r>
        <w:rPr>
          <w:spacing w:val="-4"/>
          <w:w w:val="105"/>
        </w:rPr>
        <w:t xml:space="preserve"> </w:t>
      </w:r>
      <w:r>
        <w:rPr>
          <w:w w:val="105"/>
        </w:rPr>
        <w:t>the</w:t>
      </w:r>
      <w:r>
        <w:rPr>
          <w:spacing w:val="-3"/>
          <w:w w:val="105"/>
        </w:rPr>
        <w:t xml:space="preserve"> </w:t>
      </w:r>
      <w:r>
        <w:rPr>
          <w:w w:val="105"/>
        </w:rPr>
        <w:t>teacher</w:t>
      </w:r>
      <w:r>
        <w:rPr>
          <w:spacing w:val="-4"/>
          <w:w w:val="105"/>
        </w:rPr>
        <w:t xml:space="preserve"> </w:t>
      </w:r>
      <w:r>
        <w:rPr>
          <w:w w:val="105"/>
        </w:rPr>
        <w:t>will</w:t>
      </w:r>
      <w:r>
        <w:rPr>
          <w:spacing w:val="-4"/>
          <w:w w:val="105"/>
        </w:rPr>
        <w:t xml:space="preserve"> </w:t>
      </w:r>
      <w:r>
        <w:rPr>
          <w:w w:val="105"/>
        </w:rPr>
        <w:t>continue</w:t>
      </w:r>
      <w:r>
        <w:rPr>
          <w:spacing w:val="-3"/>
          <w:w w:val="105"/>
        </w:rPr>
        <w:t xml:space="preserve"> </w:t>
      </w:r>
      <w:r>
        <w:rPr>
          <w:w w:val="105"/>
        </w:rPr>
        <w:t>to</w:t>
      </w:r>
      <w:r>
        <w:rPr>
          <w:spacing w:val="-3"/>
          <w:w w:val="105"/>
        </w:rPr>
        <w:t xml:space="preserve"> </w:t>
      </w:r>
      <w:r>
        <w:rPr>
          <w:w w:val="105"/>
        </w:rPr>
        <w:t>support</w:t>
      </w:r>
      <w:r>
        <w:rPr>
          <w:spacing w:val="-4"/>
          <w:w w:val="105"/>
        </w:rPr>
        <w:t xml:space="preserve"> </w:t>
      </w:r>
      <w:r>
        <w:rPr>
          <w:w w:val="105"/>
        </w:rPr>
        <w:t>the</w:t>
      </w:r>
      <w:r>
        <w:rPr>
          <w:spacing w:val="-3"/>
          <w:w w:val="105"/>
        </w:rPr>
        <w:t xml:space="preserve"> </w:t>
      </w:r>
      <w:r>
        <w:rPr>
          <w:w w:val="105"/>
        </w:rPr>
        <w:t>students.</w:t>
      </w:r>
      <w:r>
        <w:rPr>
          <w:spacing w:val="-4"/>
          <w:w w:val="105"/>
        </w:rPr>
        <w:t xml:space="preserve"> </w:t>
      </w:r>
      <w:r>
        <w:rPr>
          <w:w w:val="105"/>
        </w:rPr>
        <w:t>Being</w:t>
      </w:r>
      <w:r>
        <w:rPr>
          <w:spacing w:val="-3"/>
          <w:w w:val="105"/>
        </w:rPr>
        <w:t xml:space="preserve"> </w:t>
      </w:r>
      <w:r>
        <w:rPr>
          <w:w w:val="105"/>
        </w:rPr>
        <w:t>aware</w:t>
      </w:r>
      <w:r>
        <w:rPr>
          <w:spacing w:val="-3"/>
          <w:w w:val="105"/>
        </w:rPr>
        <w:t xml:space="preserve"> </w:t>
      </w:r>
      <w:r>
        <w:rPr>
          <w:w w:val="105"/>
        </w:rPr>
        <w:t>not to</w:t>
      </w:r>
      <w:r>
        <w:rPr>
          <w:spacing w:val="-5"/>
          <w:w w:val="105"/>
        </w:rPr>
        <w:t xml:space="preserve"> </w:t>
      </w:r>
      <w:r>
        <w:rPr>
          <w:w w:val="105"/>
        </w:rPr>
        <w:t>‘over-scaffold’</w:t>
      </w:r>
      <w:r>
        <w:rPr>
          <w:spacing w:val="-5"/>
          <w:w w:val="105"/>
        </w:rPr>
        <w:t xml:space="preserve"> </w:t>
      </w:r>
      <w:r>
        <w:rPr>
          <w:w w:val="105"/>
        </w:rPr>
        <w:t>(which</w:t>
      </w:r>
      <w:r>
        <w:rPr>
          <w:spacing w:val="-5"/>
          <w:w w:val="105"/>
        </w:rPr>
        <w:t xml:space="preserve"> </w:t>
      </w:r>
      <w:r>
        <w:rPr>
          <w:w w:val="105"/>
        </w:rPr>
        <w:t>would</w:t>
      </w:r>
      <w:r>
        <w:rPr>
          <w:spacing w:val="-5"/>
          <w:w w:val="105"/>
        </w:rPr>
        <w:t xml:space="preserve"> </w:t>
      </w:r>
      <w:r>
        <w:rPr>
          <w:w w:val="105"/>
        </w:rPr>
        <w:t>mask</w:t>
      </w:r>
      <w:r>
        <w:rPr>
          <w:spacing w:val="-5"/>
          <w:w w:val="105"/>
        </w:rPr>
        <w:t xml:space="preserve"> </w:t>
      </w:r>
      <w:r>
        <w:rPr>
          <w:w w:val="105"/>
        </w:rPr>
        <w:t>students’</w:t>
      </w:r>
      <w:r>
        <w:rPr>
          <w:spacing w:val="-5"/>
          <w:w w:val="105"/>
        </w:rPr>
        <w:t xml:space="preserve"> </w:t>
      </w:r>
      <w:r>
        <w:rPr>
          <w:w w:val="105"/>
        </w:rPr>
        <w:t>ability</w:t>
      </w:r>
      <w:r>
        <w:rPr>
          <w:spacing w:val="-5"/>
          <w:w w:val="105"/>
        </w:rPr>
        <w:t xml:space="preserve"> </w:t>
      </w:r>
      <w:r>
        <w:rPr>
          <w:w w:val="105"/>
        </w:rPr>
        <w:t>to</w:t>
      </w:r>
      <w:r>
        <w:rPr>
          <w:spacing w:val="-5"/>
          <w:w w:val="105"/>
        </w:rPr>
        <w:t xml:space="preserve"> </w:t>
      </w:r>
      <w:r>
        <w:rPr>
          <w:w w:val="105"/>
        </w:rPr>
        <w:t>make</w:t>
      </w:r>
      <w:r>
        <w:rPr>
          <w:spacing w:val="-5"/>
          <w:w w:val="105"/>
        </w:rPr>
        <w:t xml:space="preserve"> </w:t>
      </w:r>
      <w:r>
        <w:rPr>
          <w:w w:val="105"/>
        </w:rPr>
        <w:t>sense</w:t>
      </w:r>
      <w:r>
        <w:rPr>
          <w:spacing w:val="-5"/>
          <w:w w:val="105"/>
        </w:rPr>
        <w:t xml:space="preserve"> </w:t>
      </w:r>
      <w:r>
        <w:rPr>
          <w:w w:val="105"/>
        </w:rPr>
        <w:t>of</w:t>
      </w:r>
      <w:r>
        <w:rPr>
          <w:spacing w:val="-5"/>
          <w:w w:val="105"/>
        </w:rPr>
        <w:t xml:space="preserve"> </w:t>
      </w:r>
      <w:r>
        <w:rPr>
          <w:w w:val="105"/>
        </w:rPr>
        <w:t>a</w:t>
      </w:r>
      <w:r>
        <w:rPr>
          <w:spacing w:val="-5"/>
          <w:w w:val="105"/>
        </w:rPr>
        <w:t xml:space="preserve"> </w:t>
      </w:r>
      <w:r>
        <w:rPr>
          <w:w w:val="105"/>
        </w:rPr>
        <w:t>phenomenon</w:t>
      </w:r>
      <w:r>
        <w:rPr>
          <w:spacing w:val="-5"/>
          <w:w w:val="105"/>
        </w:rPr>
        <w:t xml:space="preserve"> </w:t>
      </w:r>
      <w:r>
        <w:rPr>
          <w:w w:val="105"/>
        </w:rPr>
        <w:t>or</w:t>
      </w:r>
      <w:r>
        <w:rPr>
          <w:spacing w:val="-5"/>
          <w:w w:val="105"/>
        </w:rPr>
        <w:t xml:space="preserve"> </w:t>
      </w:r>
      <w:r>
        <w:rPr>
          <w:w w:val="105"/>
        </w:rPr>
        <w:t>design a solution), the teacher will have potential probing or supporting questions</w:t>
      </w:r>
      <w:r>
        <w:rPr>
          <w:spacing w:val="-13"/>
          <w:w w:val="105"/>
        </w:rPr>
        <w:t xml:space="preserve"> </w:t>
      </w:r>
      <w:r>
        <w:rPr>
          <w:w w:val="105"/>
        </w:rPr>
        <w:t>ready.</w:t>
      </w:r>
    </w:p>
    <w:p w14:paraId="16535A8A" w14:textId="77777777" w:rsidR="003B51B7" w:rsidRDefault="003B51B7">
      <w:pPr>
        <w:pStyle w:val="BodyText"/>
        <w:spacing w:before="5"/>
        <w:rPr>
          <w:sz w:val="35"/>
        </w:rPr>
      </w:pPr>
    </w:p>
    <w:p w14:paraId="16C522E6" w14:textId="77777777" w:rsidR="003B51B7" w:rsidRDefault="00E41BC6">
      <w:pPr>
        <w:pStyle w:val="ListParagraph"/>
        <w:numPr>
          <w:ilvl w:val="0"/>
          <w:numId w:val="2"/>
        </w:numPr>
        <w:tabs>
          <w:tab w:val="left" w:pos="820"/>
        </w:tabs>
        <w:spacing w:line="249" w:lineRule="auto"/>
        <w:ind w:right="180"/>
        <w:rPr>
          <w:sz w:val="21"/>
          <w:u w:val="none"/>
        </w:rPr>
      </w:pPr>
      <w:r>
        <w:rPr>
          <w:w w:val="105"/>
          <w:sz w:val="21"/>
        </w:rPr>
        <w:t>Post-task</w:t>
      </w:r>
      <w:r>
        <w:rPr>
          <w:spacing w:val="-5"/>
          <w:w w:val="105"/>
          <w:sz w:val="21"/>
        </w:rPr>
        <w:t xml:space="preserve"> </w:t>
      </w:r>
      <w:r>
        <w:rPr>
          <w:w w:val="105"/>
          <w:sz w:val="21"/>
        </w:rPr>
        <w:t>calibration.</w:t>
      </w:r>
      <w:r>
        <w:rPr>
          <w:spacing w:val="-6"/>
          <w:w w:val="105"/>
          <w:sz w:val="21"/>
          <w:u w:val="none"/>
        </w:rPr>
        <w:t xml:space="preserve"> </w:t>
      </w:r>
      <w:r>
        <w:rPr>
          <w:w w:val="105"/>
          <w:sz w:val="21"/>
          <w:u w:val="none"/>
        </w:rPr>
        <w:t>Bringing</w:t>
      </w:r>
      <w:r>
        <w:rPr>
          <w:spacing w:val="-5"/>
          <w:w w:val="105"/>
          <w:sz w:val="21"/>
          <w:u w:val="none"/>
        </w:rPr>
        <w:t xml:space="preserve"> </w:t>
      </w:r>
      <w:r>
        <w:rPr>
          <w:w w:val="105"/>
          <w:sz w:val="21"/>
          <w:u w:val="none"/>
        </w:rPr>
        <w:t>their</w:t>
      </w:r>
      <w:r>
        <w:rPr>
          <w:spacing w:val="-6"/>
          <w:w w:val="105"/>
          <w:sz w:val="21"/>
          <w:u w:val="none"/>
        </w:rPr>
        <w:t xml:space="preserve"> </w:t>
      </w:r>
      <w:r>
        <w:rPr>
          <w:w w:val="105"/>
          <w:sz w:val="21"/>
          <w:u w:val="none"/>
        </w:rPr>
        <w:t>student</w:t>
      </w:r>
      <w:r>
        <w:rPr>
          <w:spacing w:val="-6"/>
          <w:w w:val="105"/>
          <w:sz w:val="21"/>
          <w:u w:val="none"/>
        </w:rPr>
        <w:t xml:space="preserve"> </w:t>
      </w:r>
      <w:r>
        <w:rPr>
          <w:w w:val="105"/>
          <w:sz w:val="21"/>
          <w:u w:val="none"/>
        </w:rPr>
        <w:t>work</w:t>
      </w:r>
      <w:r>
        <w:rPr>
          <w:spacing w:val="-5"/>
          <w:w w:val="105"/>
          <w:sz w:val="21"/>
          <w:u w:val="none"/>
        </w:rPr>
        <w:t xml:space="preserve"> </w:t>
      </w:r>
      <w:r>
        <w:rPr>
          <w:w w:val="105"/>
          <w:sz w:val="21"/>
          <w:u w:val="none"/>
        </w:rPr>
        <w:t>with</w:t>
      </w:r>
      <w:r>
        <w:rPr>
          <w:spacing w:val="-5"/>
          <w:w w:val="105"/>
          <w:sz w:val="21"/>
          <w:u w:val="none"/>
        </w:rPr>
        <w:t xml:space="preserve"> </w:t>
      </w:r>
      <w:r>
        <w:rPr>
          <w:w w:val="105"/>
          <w:sz w:val="21"/>
          <w:u w:val="none"/>
        </w:rPr>
        <w:t>them,</w:t>
      </w:r>
      <w:r>
        <w:rPr>
          <w:spacing w:val="-6"/>
          <w:w w:val="105"/>
          <w:sz w:val="21"/>
          <w:u w:val="none"/>
        </w:rPr>
        <w:t xml:space="preserve"> </w:t>
      </w:r>
      <w:r>
        <w:rPr>
          <w:w w:val="105"/>
          <w:sz w:val="21"/>
          <w:u w:val="none"/>
        </w:rPr>
        <w:t>the</w:t>
      </w:r>
      <w:r>
        <w:rPr>
          <w:spacing w:val="-5"/>
          <w:w w:val="105"/>
          <w:sz w:val="21"/>
          <w:u w:val="none"/>
        </w:rPr>
        <w:t xml:space="preserve"> </w:t>
      </w:r>
      <w:r>
        <w:rPr>
          <w:w w:val="105"/>
          <w:sz w:val="21"/>
          <w:u w:val="none"/>
        </w:rPr>
        <w:t>team</w:t>
      </w:r>
      <w:r>
        <w:rPr>
          <w:spacing w:val="-4"/>
          <w:w w:val="105"/>
          <w:sz w:val="21"/>
          <w:u w:val="none"/>
        </w:rPr>
        <w:t xml:space="preserve"> </w:t>
      </w:r>
      <w:r>
        <w:rPr>
          <w:w w:val="105"/>
          <w:sz w:val="21"/>
          <w:u w:val="none"/>
        </w:rPr>
        <w:t>will</w:t>
      </w:r>
      <w:r>
        <w:rPr>
          <w:spacing w:val="-6"/>
          <w:w w:val="105"/>
          <w:sz w:val="21"/>
          <w:u w:val="none"/>
        </w:rPr>
        <w:t xml:space="preserve"> </w:t>
      </w:r>
      <w:r>
        <w:rPr>
          <w:w w:val="105"/>
          <w:sz w:val="21"/>
          <w:u w:val="none"/>
        </w:rPr>
        <w:t>reconvene</w:t>
      </w:r>
      <w:r>
        <w:rPr>
          <w:spacing w:val="-5"/>
          <w:w w:val="105"/>
          <w:sz w:val="21"/>
          <w:u w:val="none"/>
        </w:rPr>
        <w:t xml:space="preserve"> </w:t>
      </w:r>
      <w:r>
        <w:rPr>
          <w:w w:val="105"/>
          <w:sz w:val="21"/>
          <w:u w:val="none"/>
        </w:rPr>
        <w:t>and</w:t>
      </w:r>
      <w:r>
        <w:rPr>
          <w:spacing w:val="-5"/>
          <w:w w:val="105"/>
          <w:sz w:val="21"/>
          <w:u w:val="none"/>
        </w:rPr>
        <w:t xml:space="preserve"> </w:t>
      </w:r>
      <w:r>
        <w:rPr>
          <w:w w:val="105"/>
          <w:sz w:val="21"/>
          <w:u w:val="none"/>
        </w:rPr>
        <w:t>engage in a protocol to analyze evidence of student learning. They likely</w:t>
      </w:r>
      <w:r w:rsidR="00F0280C">
        <w:rPr>
          <w:w w:val="105"/>
          <w:sz w:val="21"/>
          <w:u w:val="none"/>
        </w:rPr>
        <w:t xml:space="preserve"> will</w:t>
      </w:r>
      <w:r>
        <w:rPr>
          <w:w w:val="105"/>
          <w:sz w:val="21"/>
          <w:u w:val="none"/>
        </w:rPr>
        <w:t xml:space="preserve"> look for patterns in strengths and weaknesses, identify any misconceptions or incomplete conceptions,</w:t>
      </w:r>
      <w:r>
        <w:rPr>
          <w:spacing w:val="-23"/>
          <w:w w:val="105"/>
          <w:sz w:val="21"/>
          <w:u w:val="none"/>
        </w:rPr>
        <w:t xml:space="preserve"> </w:t>
      </w:r>
      <w:r>
        <w:rPr>
          <w:w w:val="105"/>
          <w:sz w:val="21"/>
          <w:u w:val="none"/>
        </w:rPr>
        <w:t>discuss</w:t>
      </w:r>
    </w:p>
    <w:p w14:paraId="23D87EF7" w14:textId="77777777" w:rsidR="003B51B7" w:rsidRDefault="003B51B7">
      <w:pPr>
        <w:spacing w:line="249" w:lineRule="auto"/>
        <w:rPr>
          <w:sz w:val="21"/>
        </w:rPr>
        <w:sectPr w:rsidR="003B51B7">
          <w:footerReference w:type="default" r:id="rId8"/>
          <w:type w:val="continuous"/>
          <w:pgSz w:w="12240" w:h="15840"/>
          <w:pgMar w:top="1360" w:right="1340" w:bottom="280" w:left="1340" w:header="720" w:footer="720" w:gutter="0"/>
          <w:cols w:space="720"/>
        </w:sectPr>
      </w:pPr>
    </w:p>
    <w:p w14:paraId="438B800E" w14:textId="77777777" w:rsidR="003B51B7" w:rsidRDefault="00E41BC6">
      <w:pPr>
        <w:pStyle w:val="BodyText"/>
        <w:spacing w:before="85" w:line="252" w:lineRule="auto"/>
        <w:ind w:left="820" w:right="96"/>
      </w:pPr>
      <w:r>
        <w:rPr>
          <w:w w:val="105"/>
        </w:rPr>
        <w:lastRenderedPageBreak/>
        <w:t xml:space="preserve">differences in teacher facilitation that may have contributed to different patterns in student work, and discuss next best steps in their science programs based on the evidence they see. They might consider how to provide feedback to students on the task and how they expect students to use that feedback. They also </w:t>
      </w:r>
      <w:r w:rsidR="00847363">
        <w:rPr>
          <w:w w:val="105"/>
        </w:rPr>
        <w:t xml:space="preserve">may </w:t>
      </w:r>
      <w:r>
        <w:rPr>
          <w:w w:val="105"/>
        </w:rPr>
        <w:t>identify some teacher learning needs that could support stronger teaching and learning practices around the standards.</w:t>
      </w:r>
    </w:p>
    <w:p w14:paraId="59BC6703" w14:textId="77777777" w:rsidR="003B51B7" w:rsidRDefault="003B51B7">
      <w:pPr>
        <w:pStyle w:val="BodyText"/>
        <w:rPr>
          <w:sz w:val="24"/>
        </w:rPr>
      </w:pPr>
    </w:p>
    <w:p w14:paraId="2BC8B455" w14:textId="77777777" w:rsidR="003B51B7" w:rsidRDefault="00E41BC6">
      <w:pPr>
        <w:pStyle w:val="BodyText"/>
        <w:spacing w:before="156" w:line="271" w:lineRule="auto"/>
        <w:ind w:left="100" w:right="74"/>
      </w:pPr>
      <w:r>
        <w:rPr>
          <w:w w:val="105"/>
        </w:rPr>
        <w:t xml:space="preserve">Because designing rich </w:t>
      </w:r>
      <w:r w:rsidR="00847363">
        <w:rPr>
          <w:w w:val="105"/>
        </w:rPr>
        <w:t>three-dimensional</w:t>
      </w:r>
      <w:r>
        <w:rPr>
          <w:w w:val="105"/>
        </w:rPr>
        <w:t xml:space="preserve"> tasks is a new and challenging undertaking, a ‘template’ has been designed to make transparent the way the initial tasks </w:t>
      </w:r>
      <w:r w:rsidR="00613B4F">
        <w:rPr>
          <w:w w:val="105"/>
        </w:rPr>
        <w:t>were</w:t>
      </w:r>
      <w:r>
        <w:rPr>
          <w:w w:val="105"/>
        </w:rPr>
        <w:t xml:space="preserve"> developed. The template </w:t>
      </w:r>
      <w:r w:rsidR="00315A60">
        <w:rPr>
          <w:w w:val="105"/>
        </w:rPr>
        <w:t xml:space="preserve">may be used as one way of </w:t>
      </w:r>
      <w:r>
        <w:rPr>
          <w:w w:val="105"/>
        </w:rPr>
        <w:t xml:space="preserve">creating rich classroom tasks. </w:t>
      </w:r>
      <w:r w:rsidR="00315A60">
        <w:rPr>
          <w:w w:val="105"/>
        </w:rPr>
        <w:t>A</w:t>
      </w:r>
      <w:r>
        <w:rPr>
          <w:w w:val="105"/>
        </w:rPr>
        <w:t xml:space="preserve">s we all continue to learn, we may find other ways to design </w:t>
      </w:r>
      <w:r w:rsidR="00315A60">
        <w:rPr>
          <w:w w:val="105"/>
        </w:rPr>
        <w:t>three-dimensional</w:t>
      </w:r>
      <w:r>
        <w:rPr>
          <w:w w:val="105"/>
        </w:rPr>
        <w:t xml:space="preserve"> tasks</w:t>
      </w:r>
      <w:r w:rsidR="00315A60">
        <w:rPr>
          <w:w w:val="105"/>
        </w:rPr>
        <w:t>.</w:t>
      </w:r>
    </w:p>
    <w:p w14:paraId="4DBAFD57" w14:textId="77777777" w:rsidR="003B51B7" w:rsidRDefault="00306816">
      <w:pPr>
        <w:pStyle w:val="BodyText"/>
        <w:spacing w:before="145" w:line="271" w:lineRule="auto"/>
        <w:ind w:left="100" w:right="133"/>
      </w:pPr>
      <w:r>
        <w:rPr>
          <w:w w:val="105"/>
        </w:rPr>
        <w:t>T</w:t>
      </w:r>
      <w:r w:rsidR="00E41BC6">
        <w:rPr>
          <w:w w:val="105"/>
        </w:rPr>
        <w:t xml:space="preserve">he key </w:t>
      </w:r>
      <w:r>
        <w:rPr>
          <w:w w:val="105"/>
        </w:rPr>
        <w:t>takeaway</w:t>
      </w:r>
      <w:r w:rsidR="00E41BC6">
        <w:rPr>
          <w:w w:val="105"/>
        </w:rPr>
        <w:t xml:space="preserve"> about the TCT component of the science assessment system is NOT in terms of</w:t>
      </w:r>
      <w:r w:rsidR="00E41BC6">
        <w:rPr>
          <w:spacing w:val="-5"/>
          <w:w w:val="105"/>
        </w:rPr>
        <w:t xml:space="preserve"> </w:t>
      </w:r>
      <w:r>
        <w:rPr>
          <w:spacing w:val="-5"/>
          <w:w w:val="105"/>
        </w:rPr>
        <w:t>identifying</w:t>
      </w:r>
      <w:r w:rsidR="00E41BC6">
        <w:rPr>
          <w:spacing w:val="-4"/>
          <w:w w:val="105"/>
        </w:rPr>
        <w:t xml:space="preserve"> </w:t>
      </w:r>
      <w:r w:rsidR="00E41BC6">
        <w:rPr>
          <w:w w:val="105"/>
        </w:rPr>
        <w:t>student</w:t>
      </w:r>
      <w:r w:rsidR="00E41BC6">
        <w:rPr>
          <w:spacing w:val="-5"/>
          <w:w w:val="105"/>
        </w:rPr>
        <w:t xml:space="preserve"> </w:t>
      </w:r>
      <w:r w:rsidR="00E41BC6">
        <w:rPr>
          <w:w w:val="105"/>
        </w:rPr>
        <w:t>levels</w:t>
      </w:r>
      <w:r w:rsidR="00E41BC6">
        <w:rPr>
          <w:spacing w:val="-5"/>
          <w:w w:val="105"/>
        </w:rPr>
        <w:t xml:space="preserve"> </w:t>
      </w:r>
      <w:r w:rsidR="00E41BC6">
        <w:rPr>
          <w:w w:val="105"/>
        </w:rPr>
        <w:t>or</w:t>
      </w:r>
      <w:r w:rsidR="00E41BC6">
        <w:rPr>
          <w:spacing w:val="-5"/>
          <w:w w:val="105"/>
        </w:rPr>
        <w:t xml:space="preserve"> </w:t>
      </w:r>
      <w:r w:rsidR="00E41BC6">
        <w:rPr>
          <w:w w:val="105"/>
        </w:rPr>
        <w:t>scores</w:t>
      </w:r>
      <w:r w:rsidR="00A25110">
        <w:rPr>
          <w:w w:val="105"/>
        </w:rPr>
        <w:t>; i</w:t>
      </w:r>
      <w:r>
        <w:rPr>
          <w:w w:val="105"/>
        </w:rPr>
        <w:t xml:space="preserve">t is in determining where students are in their use of the science and engineering practices and cross-cutting concepts as </w:t>
      </w:r>
      <w:r w:rsidR="00A25110">
        <w:rPr>
          <w:w w:val="105"/>
        </w:rPr>
        <w:t>they</w:t>
      </w:r>
      <w:r>
        <w:rPr>
          <w:w w:val="105"/>
        </w:rPr>
        <w:t xml:space="preserve"> make sense of a phenomenon</w:t>
      </w:r>
      <w:r w:rsidR="008C5F17">
        <w:rPr>
          <w:w w:val="105"/>
        </w:rPr>
        <w:t>, allowing cu</w:t>
      </w:r>
      <w:r w:rsidR="002978FE">
        <w:rPr>
          <w:w w:val="105"/>
        </w:rPr>
        <w:t>rricular adjustments to be made.  T</w:t>
      </w:r>
      <w:r w:rsidR="0078145F">
        <w:rPr>
          <w:w w:val="105"/>
        </w:rPr>
        <w:t>he TCT component provides teachers the opportunity to collaborate with peers, calibrating their expectations for student learning, thus providing students with equitable learning experiences.</w:t>
      </w:r>
    </w:p>
    <w:p w14:paraId="1995D1FE" w14:textId="77777777" w:rsidR="003B51B7" w:rsidRDefault="003B51B7">
      <w:pPr>
        <w:pStyle w:val="BodyText"/>
        <w:rPr>
          <w:sz w:val="24"/>
        </w:rPr>
      </w:pPr>
    </w:p>
    <w:p w14:paraId="23A5B985" w14:textId="77777777" w:rsidR="003B51B7" w:rsidRDefault="003B51B7">
      <w:pPr>
        <w:pStyle w:val="BodyText"/>
        <w:rPr>
          <w:sz w:val="28"/>
        </w:rPr>
      </w:pPr>
    </w:p>
    <w:p w14:paraId="27CAD84B" w14:textId="77777777" w:rsidR="003B51B7" w:rsidRPr="00D85D45" w:rsidRDefault="00E41BC6" w:rsidP="00D85D45">
      <w:pPr>
        <w:pStyle w:val="BodyText"/>
        <w:rPr>
          <w:b/>
        </w:rPr>
      </w:pPr>
      <w:r w:rsidRPr="00D85D45">
        <w:rPr>
          <w:b/>
          <w:w w:val="105"/>
        </w:rPr>
        <w:t>What should we be doing now?</w:t>
      </w:r>
    </w:p>
    <w:p w14:paraId="2BD878D5" w14:textId="77777777" w:rsidR="00F15A62" w:rsidRPr="00F15A62" w:rsidRDefault="00E41BC6" w:rsidP="00D709D1">
      <w:pPr>
        <w:pStyle w:val="ListParagraph"/>
        <w:numPr>
          <w:ilvl w:val="0"/>
          <w:numId w:val="1"/>
        </w:numPr>
        <w:tabs>
          <w:tab w:val="left" w:pos="820"/>
        </w:tabs>
        <w:spacing w:line="252" w:lineRule="auto"/>
        <w:rPr>
          <w:sz w:val="21"/>
          <w:u w:val="none"/>
        </w:rPr>
      </w:pPr>
      <w:r w:rsidRPr="00D709D1">
        <w:rPr>
          <w:w w:val="105"/>
          <w:sz w:val="21"/>
          <w:u w:val="none"/>
        </w:rPr>
        <w:t>Continue to learn about looking at student work collectively by reading the following:</w:t>
      </w:r>
      <w:r w:rsidR="00D85D45">
        <w:rPr>
          <w:w w:val="105"/>
          <w:sz w:val="21"/>
          <w:u w:val="none"/>
        </w:rPr>
        <w:t xml:space="preserve">  </w:t>
      </w:r>
    </w:p>
    <w:p w14:paraId="2AA05713" w14:textId="77777777" w:rsidR="003B51B7" w:rsidRPr="00F15A62" w:rsidRDefault="00102BE3" w:rsidP="00F15A62">
      <w:pPr>
        <w:pStyle w:val="ListParagraph"/>
        <w:numPr>
          <w:ilvl w:val="0"/>
          <w:numId w:val="3"/>
        </w:numPr>
        <w:tabs>
          <w:tab w:val="left" w:pos="820"/>
        </w:tabs>
        <w:spacing w:line="252" w:lineRule="auto"/>
        <w:rPr>
          <w:sz w:val="21"/>
          <w:u w:val="none"/>
        </w:rPr>
      </w:pPr>
      <w:hyperlink r:id="rId9" w:history="1">
        <w:r w:rsidR="00D85D45" w:rsidRPr="00F15A62">
          <w:rPr>
            <w:rStyle w:val="Hyperlink"/>
            <w:w w:val="105"/>
            <w:sz w:val="21"/>
          </w:rPr>
          <w:t>Looking at Student Work Yields Insights</w:t>
        </w:r>
      </w:hyperlink>
      <w:r w:rsidR="00D85D45">
        <w:rPr>
          <w:w w:val="105"/>
          <w:sz w:val="21"/>
          <w:u w:val="none"/>
        </w:rPr>
        <w:t xml:space="preserve"> </w:t>
      </w:r>
    </w:p>
    <w:p w14:paraId="6439499E" w14:textId="77777777" w:rsidR="00F15A62" w:rsidRPr="002B416F" w:rsidRDefault="00102BE3" w:rsidP="00F15A62">
      <w:pPr>
        <w:pStyle w:val="ListParagraph"/>
        <w:numPr>
          <w:ilvl w:val="0"/>
          <w:numId w:val="3"/>
        </w:numPr>
        <w:tabs>
          <w:tab w:val="left" w:pos="820"/>
        </w:tabs>
        <w:spacing w:line="252" w:lineRule="auto"/>
        <w:rPr>
          <w:sz w:val="21"/>
          <w:u w:val="none"/>
        </w:rPr>
      </w:pPr>
      <w:hyperlink r:id="rId10" w:history="1">
        <w:r w:rsidR="00F15A62" w:rsidRPr="00F15A62">
          <w:rPr>
            <w:rStyle w:val="Hyperlink"/>
            <w:w w:val="105"/>
            <w:sz w:val="21"/>
          </w:rPr>
          <w:t>Protocols for Examining Student Work</w:t>
        </w:r>
      </w:hyperlink>
    </w:p>
    <w:p w14:paraId="04CA2AD0" w14:textId="77777777" w:rsidR="002B416F" w:rsidRPr="005B0FE2" w:rsidRDefault="00102BE3" w:rsidP="00F15A62">
      <w:pPr>
        <w:pStyle w:val="ListParagraph"/>
        <w:numPr>
          <w:ilvl w:val="0"/>
          <w:numId w:val="3"/>
        </w:numPr>
        <w:tabs>
          <w:tab w:val="left" w:pos="820"/>
        </w:tabs>
        <w:spacing w:line="252" w:lineRule="auto"/>
        <w:rPr>
          <w:sz w:val="21"/>
          <w:u w:val="none"/>
        </w:rPr>
      </w:pPr>
      <w:hyperlink r:id="rId11" w:history="1">
        <w:r w:rsidR="002B416F" w:rsidRPr="005B0FE2">
          <w:rPr>
            <w:rStyle w:val="Hyperlink"/>
            <w:w w:val="105"/>
            <w:sz w:val="21"/>
          </w:rPr>
          <w:t>Looking Collaboratively at Student and Teacher Work</w:t>
        </w:r>
      </w:hyperlink>
    </w:p>
    <w:p w14:paraId="5AD91D11" w14:textId="77777777" w:rsidR="005B0FE2" w:rsidRPr="00785AFE" w:rsidRDefault="00102BE3" w:rsidP="00F15A62">
      <w:pPr>
        <w:pStyle w:val="ListParagraph"/>
        <w:numPr>
          <w:ilvl w:val="0"/>
          <w:numId w:val="3"/>
        </w:numPr>
        <w:tabs>
          <w:tab w:val="left" w:pos="820"/>
        </w:tabs>
        <w:spacing w:line="252" w:lineRule="auto"/>
        <w:rPr>
          <w:sz w:val="21"/>
          <w:u w:val="none"/>
        </w:rPr>
      </w:pPr>
      <w:hyperlink r:id="rId12" w:history="1">
        <w:r w:rsidR="005B0FE2" w:rsidRPr="005B0FE2">
          <w:rPr>
            <w:rStyle w:val="Hyperlink"/>
            <w:w w:val="105"/>
            <w:sz w:val="21"/>
          </w:rPr>
          <w:t>Making Sense of Student Work</w:t>
        </w:r>
      </w:hyperlink>
    </w:p>
    <w:p w14:paraId="563CF528" w14:textId="1F47694B" w:rsidR="00785AFE" w:rsidRPr="00785AFE" w:rsidRDefault="00785AFE" w:rsidP="00785AFE">
      <w:pPr>
        <w:pStyle w:val="ListParagraph"/>
        <w:numPr>
          <w:ilvl w:val="0"/>
          <w:numId w:val="1"/>
        </w:numPr>
        <w:tabs>
          <w:tab w:val="left" w:pos="820"/>
        </w:tabs>
        <w:spacing w:line="252" w:lineRule="auto"/>
        <w:rPr>
          <w:sz w:val="21"/>
        </w:rPr>
      </w:pPr>
      <w:r>
        <w:rPr>
          <w:sz w:val="21"/>
          <w:u w:val="none"/>
        </w:rPr>
        <w:t xml:space="preserve">Utilize the professional learning bank on the </w:t>
      </w:r>
      <w:hyperlink r:id="rId13" w:history="1">
        <w:r w:rsidRPr="00041F9D">
          <w:rPr>
            <w:rStyle w:val="Hyperlink"/>
            <w:sz w:val="21"/>
          </w:rPr>
          <w:t xml:space="preserve">TCT </w:t>
        </w:r>
        <w:r w:rsidR="00041F9D" w:rsidRPr="00041F9D">
          <w:rPr>
            <w:rStyle w:val="Hyperlink"/>
            <w:sz w:val="21"/>
          </w:rPr>
          <w:t>website</w:t>
        </w:r>
      </w:hyperlink>
      <w:bookmarkStart w:id="0" w:name="_GoBack"/>
      <w:bookmarkEnd w:id="0"/>
    </w:p>
    <w:sectPr w:rsidR="00785AFE" w:rsidRPr="00785AFE">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4CF8" w14:textId="77777777" w:rsidR="00102BE3" w:rsidRDefault="00102BE3" w:rsidP="00B1386A">
      <w:r>
        <w:separator/>
      </w:r>
    </w:p>
  </w:endnote>
  <w:endnote w:type="continuationSeparator" w:id="0">
    <w:p w14:paraId="734AD049" w14:textId="77777777" w:rsidR="00102BE3" w:rsidRDefault="00102BE3" w:rsidP="00B1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F90B" w14:textId="77777777" w:rsidR="00B1386A" w:rsidRDefault="00B1386A">
    <w:pPr>
      <w:pStyle w:val="Footer"/>
    </w:pPr>
    <w:proofErr w:type="spellStart"/>
    <w:r>
      <w:t>KDE:OTL:DPS:rm</w:t>
    </w:r>
    <w:proofErr w:type="spellEnd"/>
    <w:r>
      <w:t xml:space="preserve"> 8/30/2018</w:t>
    </w:r>
  </w:p>
  <w:p w14:paraId="39080625" w14:textId="77777777" w:rsidR="00B1386A" w:rsidRDefault="00B13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E29C" w14:textId="77777777" w:rsidR="00102BE3" w:rsidRDefault="00102BE3" w:rsidP="00B1386A">
      <w:r>
        <w:separator/>
      </w:r>
    </w:p>
  </w:footnote>
  <w:footnote w:type="continuationSeparator" w:id="0">
    <w:p w14:paraId="3FE34317" w14:textId="77777777" w:rsidR="00102BE3" w:rsidRDefault="00102BE3" w:rsidP="00B13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D6D"/>
    <w:multiLevelType w:val="hybridMultilevel"/>
    <w:tmpl w:val="644AF9AC"/>
    <w:lvl w:ilvl="0" w:tplc="036EEC34">
      <w:start w:val="1"/>
      <w:numFmt w:val="decimal"/>
      <w:lvlText w:val="%1."/>
      <w:lvlJc w:val="left"/>
      <w:pPr>
        <w:ind w:left="820" w:hanging="360"/>
        <w:jc w:val="left"/>
      </w:pPr>
      <w:rPr>
        <w:rFonts w:hint="default"/>
        <w:spacing w:val="0"/>
        <w:w w:val="102"/>
      </w:rPr>
    </w:lvl>
    <w:lvl w:ilvl="1" w:tplc="3ECC6E1E">
      <w:numFmt w:val="bullet"/>
      <w:lvlText w:val="•"/>
      <w:lvlJc w:val="left"/>
      <w:pPr>
        <w:ind w:left="1694" w:hanging="360"/>
      </w:pPr>
      <w:rPr>
        <w:rFonts w:hint="default"/>
      </w:rPr>
    </w:lvl>
    <w:lvl w:ilvl="2" w:tplc="CD5E2EB8">
      <w:numFmt w:val="bullet"/>
      <w:lvlText w:val="•"/>
      <w:lvlJc w:val="left"/>
      <w:pPr>
        <w:ind w:left="2568" w:hanging="360"/>
      </w:pPr>
      <w:rPr>
        <w:rFonts w:hint="default"/>
      </w:rPr>
    </w:lvl>
    <w:lvl w:ilvl="3" w:tplc="B58C7434">
      <w:numFmt w:val="bullet"/>
      <w:lvlText w:val="•"/>
      <w:lvlJc w:val="left"/>
      <w:pPr>
        <w:ind w:left="3442" w:hanging="360"/>
      </w:pPr>
      <w:rPr>
        <w:rFonts w:hint="default"/>
      </w:rPr>
    </w:lvl>
    <w:lvl w:ilvl="4" w:tplc="513CCB10">
      <w:numFmt w:val="bullet"/>
      <w:lvlText w:val="•"/>
      <w:lvlJc w:val="left"/>
      <w:pPr>
        <w:ind w:left="4316" w:hanging="360"/>
      </w:pPr>
      <w:rPr>
        <w:rFonts w:hint="default"/>
      </w:rPr>
    </w:lvl>
    <w:lvl w:ilvl="5" w:tplc="A5ECF646">
      <w:numFmt w:val="bullet"/>
      <w:lvlText w:val="•"/>
      <w:lvlJc w:val="left"/>
      <w:pPr>
        <w:ind w:left="5190" w:hanging="360"/>
      </w:pPr>
      <w:rPr>
        <w:rFonts w:hint="default"/>
      </w:rPr>
    </w:lvl>
    <w:lvl w:ilvl="6" w:tplc="6A2203AE">
      <w:numFmt w:val="bullet"/>
      <w:lvlText w:val="•"/>
      <w:lvlJc w:val="left"/>
      <w:pPr>
        <w:ind w:left="6064" w:hanging="360"/>
      </w:pPr>
      <w:rPr>
        <w:rFonts w:hint="default"/>
      </w:rPr>
    </w:lvl>
    <w:lvl w:ilvl="7" w:tplc="65EC9BEE">
      <w:numFmt w:val="bullet"/>
      <w:lvlText w:val="•"/>
      <w:lvlJc w:val="left"/>
      <w:pPr>
        <w:ind w:left="6938" w:hanging="360"/>
      </w:pPr>
      <w:rPr>
        <w:rFonts w:hint="default"/>
      </w:rPr>
    </w:lvl>
    <w:lvl w:ilvl="8" w:tplc="7D58335A">
      <w:numFmt w:val="bullet"/>
      <w:lvlText w:val="•"/>
      <w:lvlJc w:val="left"/>
      <w:pPr>
        <w:ind w:left="7812" w:hanging="360"/>
      </w:pPr>
      <w:rPr>
        <w:rFonts w:hint="default"/>
      </w:rPr>
    </w:lvl>
  </w:abstractNum>
  <w:abstractNum w:abstractNumId="1" w15:restartNumberingAfterBreak="0">
    <w:nsid w:val="2CDF249A"/>
    <w:multiLevelType w:val="hybridMultilevel"/>
    <w:tmpl w:val="C29450E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6C2D489E"/>
    <w:multiLevelType w:val="hybridMultilevel"/>
    <w:tmpl w:val="23F858B0"/>
    <w:lvl w:ilvl="0" w:tplc="D86E7A46">
      <w:start w:val="1"/>
      <w:numFmt w:val="decimal"/>
      <w:lvlText w:val="%1."/>
      <w:lvlJc w:val="left"/>
      <w:pPr>
        <w:ind w:left="820" w:hanging="360"/>
        <w:jc w:val="left"/>
      </w:pPr>
      <w:rPr>
        <w:rFonts w:ascii="Times New Roman" w:eastAsia="Times New Roman" w:hAnsi="Times New Roman" w:cs="Times New Roman" w:hint="default"/>
        <w:spacing w:val="0"/>
        <w:w w:val="102"/>
        <w:sz w:val="21"/>
        <w:szCs w:val="21"/>
      </w:rPr>
    </w:lvl>
    <w:lvl w:ilvl="1" w:tplc="5C4C3EA4">
      <w:numFmt w:val="bullet"/>
      <w:lvlText w:val="•"/>
      <w:lvlJc w:val="left"/>
      <w:pPr>
        <w:ind w:left="1694" w:hanging="360"/>
      </w:pPr>
      <w:rPr>
        <w:rFonts w:hint="default"/>
      </w:rPr>
    </w:lvl>
    <w:lvl w:ilvl="2" w:tplc="7086549E">
      <w:numFmt w:val="bullet"/>
      <w:lvlText w:val="•"/>
      <w:lvlJc w:val="left"/>
      <w:pPr>
        <w:ind w:left="2568" w:hanging="360"/>
      </w:pPr>
      <w:rPr>
        <w:rFonts w:hint="default"/>
      </w:rPr>
    </w:lvl>
    <w:lvl w:ilvl="3" w:tplc="C7F825C0">
      <w:numFmt w:val="bullet"/>
      <w:lvlText w:val="•"/>
      <w:lvlJc w:val="left"/>
      <w:pPr>
        <w:ind w:left="3442" w:hanging="360"/>
      </w:pPr>
      <w:rPr>
        <w:rFonts w:hint="default"/>
      </w:rPr>
    </w:lvl>
    <w:lvl w:ilvl="4" w:tplc="A798E026">
      <w:numFmt w:val="bullet"/>
      <w:lvlText w:val="•"/>
      <w:lvlJc w:val="left"/>
      <w:pPr>
        <w:ind w:left="4316" w:hanging="360"/>
      </w:pPr>
      <w:rPr>
        <w:rFonts w:hint="default"/>
      </w:rPr>
    </w:lvl>
    <w:lvl w:ilvl="5" w:tplc="D5AE10CE">
      <w:numFmt w:val="bullet"/>
      <w:lvlText w:val="•"/>
      <w:lvlJc w:val="left"/>
      <w:pPr>
        <w:ind w:left="5190" w:hanging="360"/>
      </w:pPr>
      <w:rPr>
        <w:rFonts w:hint="default"/>
      </w:rPr>
    </w:lvl>
    <w:lvl w:ilvl="6" w:tplc="186080CE">
      <w:numFmt w:val="bullet"/>
      <w:lvlText w:val="•"/>
      <w:lvlJc w:val="left"/>
      <w:pPr>
        <w:ind w:left="6064" w:hanging="360"/>
      </w:pPr>
      <w:rPr>
        <w:rFonts w:hint="default"/>
      </w:rPr>
    </w:lvl>
    <w:lvl w:ilvl="7" w:tplc="C1B61AA8">
      <w:numFmt w:val="bullet"/>
      <w:lvlText w:val="•"/>
      <w:lvlJc w:val="left"/>
      <w:pPr>
        <w:ind w:left="6938" w:hanging="360"/>
      </w:pPr>
      <w:rPr>
        <w:rFonts w:hint="default"/>
      </w:rPr>
    </w:lvl>
    <w:lvl w:ilvl="8" w:tplc="105A9ED0">
      <w:numFmt w:val="bullet"/>
      <w:lvlText w:val="•"/>
      <w:lvlJc w:val="left"/>
      <w:pPr>
        <w:ind w:left="781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B7"/>
    <w:rsid w:val="00041F9D"/>
    <w:rsid w:val="00083906"/>
    <w:rsid w:val="00102BE3"/>
    <w:rsid w:val="00274F9F"/>
    <w:rsid w:val="002978FE"/>
    <w:rsid w:val="002B416F"/>
    <w:rsid w:val="002C5C7E"/>
    <w:rsid w:val="00306816"/>
    <w:rsid w:val="00315A60"/>
    <w:rsid w:val="003B51B7"/>
    <w:rsid w:val="005703C7"/>
    <w:rsid w:val="005B0FE2"/>
    <w:rsid w:val="00613B4F"/>
    <w:rsid w:val="007352FB"/>
    <w:rsid w:val="0078145F"/>
    <w:rsid w:val="00785AFE"/>
    <w:rsid w:val="00847363"/>
    <w:rsid w:val="008B567B"/>
    <w:rsid w:val="008C5F17"/>
    <w:rsid w:val="00950023"/>
    <w:rsid w:val="00A25110"/>
    <w:rsid w:val="00B1386A"/>
    <w:rsid w:val="00C27E30"/>
    <w:rsid w:val="00CF035B"/>
    <w:rsid w:val="00D21D0D"/>
    <w:rsid w:val="00D709D1"/>
    <w:rsid w:val="00D85D45"/>
    <w:rsid w:val="00D86F62"/>
    <w:rsid w:val="00E41BC6"/>
    <w:rsid w:val="00EA67E1"/>
    <w:rsid w:val="00F0280C"/>
    <w:rsid w:val="00F1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A1A5"/>
  <w15:docId w15:val="{B396008D-A3ED-4C17-A300-BA4B3E7E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right="100" w:hanging="36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0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9D1"/>
    <w:rPr>
      <w:rFonts w:ascii="Segoe UI" w:eastAsia="Times New Roman" w:hAnsi="Segoe UI" w:cs="Segoe UI"/>
      <w:sz w:val="18"/>
      <w:szCs w:val="18"/>
    </w:rPr>
  </w:style>
  <w:style w:type="character" w:styleId="Hyperlink">
    <w:name w:val="Hyperlink"/>
    <w:basedOn w:val="DefaultParagraphFont"/>
    <w:uiPriority w:val="99"/>
    <w:unhideWhenUsed/>
    <w:rsid w:val="00EA67E1"/>
    <w:rPr>
      <w:color w:val="0000FF" w:themeColor="hyperlink"/>
      <w:u w:val="single"/>
    </w:rPr>
  </w:style>
  <w:style w:type="paragraph" w:styleId="Header">
    <w:name w:val="header"/>
    <w:basedOn w:val="Normal"/>
    <w:link w:val="HeaderChar"/>
    <w:uiPriority w:val="99"/>
    <w:unhideWhenUsed/>
    <w:rsid w:val="00B1386A"/>
    <w:pPr>
      <w:tabs>
        <w:tab w:val="center" w:pos="4680"/>
        <w:tab w:val="right" w:pos="9360"/>
      </w:tabs>
    </w:pPr>
  </w:style>
  <w:style w:type="character" w:customStyle="1" w:styleId="HeaderChar">
    <w:name w:val="Header Char"/>
    <w:basedOn w:val="DefaultParagraphFont"/>
    <w:link w:val="Header"/>
    <w:uiPriority w:val="99"/>
    <w:rsid w:val="00B1386A"/>
    <w:rPr>
      <w:rFonts w:ascii="Times New Roman" w:eastAsia="Times New Roman" w:hAnsi="Times New Roman" w:cs="Times New Roman"/>
    </w:rPr>
  </w:style>
  <w:style w:type="paragraph" w:styleId="Footer">
    <w:name w:val="footer"/>
    <w:basedOn w:val="Normal"/>
    <w:link w:val="FooterChar"/>
    <w:uiPriority w:val="99"/>
    <w:unhideWhenUsed/>
    <w:rsid w:val="00B1386A"/>
    <w:pPr>
      <w:tabs>
        <w:tab w:val="center" w:pos="4680"/>
        <w:tab w:val="right" w:pos="9360"/>
      </w:tabs>
    </w:pPr>
  </w:style>
  <w:style w:type="character" w:customStyle="1" w:styleId="FooterChar">
    <w:name w:val="Footer Char"/>
    <w:basedOn w:val="DefaultParagraphFont"/>
    <w:link w:val="Footer"/>
    <w:uiPriority w:val="99"/>
    <w:rsid w:val="00B1386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41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tion.ky.gov/curriculum/conpro/science/Pages/tct.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cationworld.com/a_curr/curr246.shtml" TargetMode="External"/><Relationship Id="rId12" Type="http://schemas.openxmlformats.org/officeDocument/2006/relationships/hyperlink" Target="https://www.wested.org/wp-content/uploads/2016/11/1409094003eBook_MSSW_Intro-3.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eric.ed.gov/fulltext/ED50979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scd.org/publications/books/109037/chapters/Protocols-for-Examining-Student-Work.aspx"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ascd.org/publications/educational-leadership/apr16/vol73/num07/Looking-at-Student-Work-Yields-Insight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2908AD9DA4E9243B0872FBEDFCCD64A" ma:contentTypeVersion="40" ma:contentTypeDescription="" ma:contentTypeScope="" ma:versionID="9d6c2ec5ebfc6b54a125348b923c3d7e">
  <xsd:schema xmlns:xsd="http://www.w3.org/2001/XMLSchema" xmlns:xs="http://www.w3.org/2001/XMLSchema" xmlns:p="http://schemas.microsoft.com/office/2006/metadata/properties" xmlns:ns1="http://schemas.microsoft.com/sharepoint/v3" xmlns:ns2="3a62de7d-ba57-4f43-9dae-9623ba637be0" xmlns:ns3="79805855-7f6d-43f6-941c-c84dc09acd48" targetNamespace="http://schemas.microsoft.com/office/2006/metadata/properties" ma:root="true" ma:fieldsID="7f47052c3b93512f4a2273bce90c10e2" ns1:_="" ns2:_="" ns3:_="">
    <xsd:import namespace="http://schemas.microsoft.com/sharepoint/v3"/>
    <xsd:import namespace="3a62de7d-ba57-4f43-9dae-9623ba637be0"/>
    <xsd:import namespace="79805855-7f6d-43f6-941c-c84dc09acd48"/>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Grade_x0020_Level" minOccurs="0"/>
                <xsd:element ref="ns3:Phenomenon_x0020_within_x0020_the_x0020_task" minOccurs="0"/>
                <xsd:element ref="ns3:Crosscutting_x0020_Concepts" minOccurs="0"/>
                <xsd:element ref="ns3:Science_x0020_and_x0020_Engineering_x0020_Practices" minOccurs="0"/>
                <xsd:element ref="ns3:T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805855-7f6d-43f6-941c-c84dc09acd48" elementFormDefault="qualified">
    <xsd:import namespace="http://schemas.microsoft.com/office/2006/documentManagement/types"/>
    <xsd:import namespace="http://schemas.microsoft.com/office/infopath/2007/PartnerControls"/>
    <xsd:element name="Grade_x0020_Level" ma:index="25" nillable="true" ma:displayName="Grade Level" ma:internalName="Grade_x0020_Level" ma:readOnly="false">
      <xsd:simpleType>
        <xsd:restriction base="dms:Text">
          <xsd:maxLength value="255"/>
        </xsd:restriction>
      </xsd:simpleType>
    </xsd:element>
    <xsd:element name="Phenomenon_x0020_within_x0020_the_x0020_task" ma:index="26" nillable="true" ma:displayName="Phenomenon within the task" ma:internalName="Phenomenon_x0020_within_x0020_the_x0020_task">
      <xsd:simpleType>
        <xsd:restriction base="dms:Text">
          <xsd:maxLength value="255"/>
        </xsd:restriction>
      </xsd:simpleType>
    </xsd:element>
    <xsd:element name="Crosscutting_x0020_Concepts" ma:index="27" nillable="true" ma:displayName="Science and Engineering Practices" ma:internalName="Crosscutting_x0020_Concepts">
      <xsd:simpleType>
        <xsd:restriction base="dms:Text">
          <xsd:maxLength value="255"/>
        </xsd:restriction>
      </xsd:simpleType>
    </xsd:element>
    <xsd:element name="Science_x0020_and_x0020_Engineering_x0020_Practices" ma:index="28" nillable="true" ma:displayName="Crosscutting Concepts" ma:internalName="Science_x0020_and_x0020_Engineering_x0020_Practices">
      <xsd:simpleType>
        <xsd:restriction base="dms:Text">
          <xsd:maxLength value="255"/>
        </xsd:restriction>
      </xsd:simpleType>
    </xsd:element>
    <xsd:element name="TCT" ma:index="29" nillable="true" ma:displayName="TCT" ma:internalName="TC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Name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Crosscutting_x0020_Concepts xmlns="79805855-7f6d-43f6-941c-c84dc09acd48" xsi:nil="true"/>
    <Accessibility_x0020_Audit_x0020_Date xmlns="3a62de7d-ba57-4f43-9dae-9623ba637be0" xsi:nil="true"/>
    <RoutingRuleDescription xmlns="http://schemas.microsoft.com/sharepoint/v3" xsi:nil="true"/>
    <PublishingExpirationDate xmlns="http://schemas.microsoft.com/sharepoint/v3" xsi:nil="true"/>
    <Phenomenon_x0020_within_x0020_the_x0020_task xmlns="79805855-7f6d-43f6-941c-c84dc09acd48" xsi:nil="true"/>
    <PublishingStartDate xmlns="http://schemas.microsoft.com/sharepoint/v3" xsi:nil="true"/>
    <Science_x0020_and_x0020_Engineering_x0020_Practices xmlns="79805855-7f6d-43f6-941c-c84dc09acd48" xsi:nil="true"/>
    <Publication_x0020_Date xmlns="3a62de7d-ba57-4f43-9dae-9623ba637be0">2020-02-14T05:00:00+00:00</Publication_x0020_Date>
    <Grade_x0020_Level xmlns="79805855-7f6d-43f6-941c-c84dc09acd48" xsi:nil="true"/>
    <Audience1 xmlns="3a62de7d-ba57-4f43-9dae-9623ba637be0"/>
    <_dlc_DocId xmlns="3a62de7d-ba57-4f43-9dae-9623ba637be0">KYED-526-213</_dlc_DocId>
    <_dlc_DocIdUrl xmlns="3a62de7d-ba57-4f43-9dae-9623ba637be0">
      <Url>https://www.education.ky.gov/curriculum/conpro/science/_layouts/15/DocIdRedir.aspx?ID=KYED-526-213</Url>
      <Description>KYED-526-213</Description>
    </_dlc_DocIdUrl>
    <TCT xmlns="79805855-7f6d-43f6-941c-c84dc09acd48">No</TC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405705-EB68-4556-9384-3E46309991F8}"/>
</file>

<file path=customXml/itemProps2.xml><?xml version="1.0" encoding="utf-8"?>
<ds:datastoreItem xmlns:ds="http://schemas.openxmlformats.org/officeDocument/2006/customXml" ds:itemID="{306808EA-0FEE-4E42-8B30-49A47F8F8CD9}"/>
</file>

<file path=customXml/itemProps3.xml><?xml version="1.0" encoding="utf-8"?>
<ds:datastoreItem xmlns:ds="http://schemas.openxmlformats.org/officeDocument/2006/customXml" ds:itemID="{30097491-2C25-4E60-AEF0-B006C138535F}"/>
</file>

<file path=customXml/itemProps4.xml><?xml version="1.0" encoding="utf-8"?>
<ds:datastoreItem xmlns:ds="http://schemas.openxmlformats.org/officeDocument/2006/customXml" ds:itemID="{F07001D7-1002-4172-8EC6-4F6756D93FF5}"/>
</file>

<file path=docProps/app.xml><?xml version="1.0" encoding="utf-8"?>
<Properties xmlns="http://schemas.openxmlformats.org/officeDocument/2006/extended-properties" xmlns:vt="http://schemas.openxmlformats.org/officeDocument/2006/docPropsVTypes">
  <Template>Normal</Template>
  <TotalTime>291</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McEntyre, Rae - Division of Program Standards</dc:creator>
  <cp:lastModifiedBy>McEntyre, Rae - Division of Program Standards</cp:lastModifiedBy>
  <cp:revision>9</cp:revision>
  <cp:lastPrinted>2018-08-29T14:45:00Z</cp:lastPrinted>
  <dcterms:created xsi:type="dcterms:W3CDTF">2018-08-29T15:07:00Z</dcterms:created>
  <dcterms:modified xsi:type="dcterms:W3CDTF">2020-02-13T17:15:00Z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0x0101001BEB557DBE01834EAB47A683706DCD5B00A2908AD9DA4E9243B0872FBEDFCCD64A</vt:lpwstr>
  </property>
  <property fmtid="{D5CDD505-2E9C-101B-9397-08002B2CF9AE}" pid="3" name="_dlc_DocIdItemGuid">
    <vt:lpwstr>0fb5925f-f748-4407-8436-f224e45be53e</vt:lpwstr>
  </property>
</Properties>
</file>