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D0A" w14:textId="5B88FBC8" w:rsidR="00C74AF2" w:rsidRDefault="00072821"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High School</w:t>
      </w:r>
      <w:r w:rsidR="00C74AF2">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Economics </w:t>
      </w:r>
      <w:r w:rsidR="00C74AF2">
        <w:rPr>
          <w:rFonts w:ascii="Calibri" w:eastAsia="Calibri" w:hAnsi="Calibri" w:cs="Calibri"/>
          <w:b/>
          <w:color w:val="000000"/>
          <w:sz w:val="24"/>
          <w:szCs w:val="24"/>
        </w:rPr>
        <w:t>Learning Experience Example</w:t>
      </w:r>
    </w:p>
    <w:p w14:paraId="6705EFA2" w14:textId="69C705F9" w:rsidR="00620810" w:rsidRDefault="00620810" w:rsidP="00C74AF2">
      <w:pPr>
        <w:pStyle w:val="Normal1"/>
        <w:spacing w:line="240" w:lineRule="auto"/>
        <w:jc w:val="center"/>
        <w:rPr>
          <w:rFonts w:ascii="Calibri" w:eastAsia="Calibri" w:hAnsi="Calibri" w:cs="Calibri"/>
          <w:b/>
          <w:color w:val="000000"/>
          <w:sz w:val="24"/>
          <w:szCs w:val="24"/>
        </w:rPr>
      </w:pPr>
      <w:r w:rsidRPr="00857747">
        <w:rPr>
          <w:rStyle w:val="ui-provider"/>
          <w:rFonts w:asciiTheme="minorHAnsi" w:hAnsiTheme="minorHAnsi" w:cstheme="minorHAnsi"/>
        </w:rPr>
        <w:t>How do art and economics describe struggles of migrants during the Great Migration?</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4CD979BE"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The following learning experience was developed by the St. Louis Federal 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BD68CA">
        <w:rPr>
          <w:rFonts w:ascii="Calibri" w:eastAsia="Calibri" w:hAnsi="Calibri" w:cs="Calibri"/>
        </w:rPr>
        <w:t>.</w:t>
      </w:r>
    </w:p>
    <w:p w14:paraId="4C6EA719" w14:textId="77777777" w:rsidR="00C74AF2" w:rsidRPr="004A27CE" w:rsidRDefault="00C74AF2" w:rsidP="00C74AF2">
      <w:pPr>
        <w:pStyle w:val="Normal1"/>
        <w:spacing w:before="240" w:line="240" w:lineRule="auto"/>
        <w:rPr>
          <w:rFonts w:ascii="Times New Roman" w:eastAsia="Times New Roman" w:hAnsi="Times New Roman" w:cs="Times New Roman"/>
          <w:b/>
          <w:color w:val="000000"/>
        </w:rPr>
      </w:pPr>
      <w:r w:rsidRPr="004A27CE">
        <w:rPr>
          <w:rFonts w:ascii="Calibri" w:eastAsia="Calibri" w:hAnsi="Calibri" w:cs="Calibri"/>
          <w:sz w:val="20"/>
          <w:szCs w:val="20"/>
        </w:rPr>
        <w:t xml:space="preserve">It is important to note that the assignment(s), indicated throughout these Teacher Notes, and related resource(s) represent one example. This example is not a requirement nor a suggestion for </w:t>
      </w:r>
      <w:proofErr w:type="gramStart"/>
      <w:r w:rsidRPr="004A27CE">
        <w:rPr>
          <w:rFonts w:ascii="Calibri" w:eastAsia="Calibri" w:hAnsi="Calibri" w:cs="Calibri"/>
          <w:sz w:val="20"/>
          <w:szCs w:val="20"/>
        </w:rPr>
        <w:t>school</w:t>
      </w:r>
      <w:proofErr w:type="gramEnd"/>
      <w:r w:rsidRPr="004A27CE">
        <w:rPr>
          <w:rFonts w:ascii="Calibri" w:eastAsia="Calibri" w:hAnsi="Calibri" w:cs="Calibri"/>
          <w:sz w:val="20"/>
          <w:szCs w:val="20"/>
        </w:rPr>
        <w:t xml:space="preserve">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4A27CE">
          <w:rPr>
            <w:rFonts w:ascii="Calibri" w:eastAsia="Calibri" w:hAnsi="Calibri" w:cs="Calibri"/>
            <w:sz w:val="20"/>
            <w:szCs w:val="20"/>
          </w:rPr>
          <w:t xml:space="preserve"> </w:t>
        </w:r>
      </w:hyperlink>
      <w:hyperlink r:id="rId11">
        <w:r w:rsidRPr="004A27CE">
          <w:rPr>
            <w:rFonts w:ascii="Calibri" w:eastAsia="Calibri" w:hAnsi="Calibri" w:cs="Calibri"/>
            <w:color w:val="1155CC"/>
            <w:sz w:val="20"/>
            <w:szCs w:val="20"/>
            <w:u w:val="single"/>
          </w:rPr>
          <w:t>Kentucky Revised Statute (KRS) 160.345</w:t>
        </w:r>
      </w:hyperlink>
      <w:r w:rsidRPr="004A27CE">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069097E2" w14:textId="77777777" w:rsidR="00BD68CA" w:rsidRDefault="00BD68CA" w:rsidP="00C74AF2">
      <w:pPr>
        <w:spacing w:after="0" w:line="257" w:lineRule="auto"/>
        <w:rPr>
          <w:rFonts w:ascii="Calibri" w:eastAsia="Calibri" w:hAnsi="Calibri" w:cs="Calibri"/>
        </w:rPr>
      </w:pPr>
      <w:r w:rsidRPr="00BD68CA">
        <w:rPr>
          <w:rFonts w:ascii="Calibri" w:eastAsia="Calibri" w:hAnsi="Calibri" w:cs="Calibri"/>
        </w:rPr>
        <w:t xml:space="preserve">HS.E.IC.1 Predict the way scarcity causes individuals, organizations and governments to evaluate tradeoffs, make choices and incur opportunity costs. </w:t>
      </w:r>
    </w:p>
    <w:p w14:paraId="4CE22F7F" w14:textId="77777777" w:rsidR="00934CC7" w:rsidRDefault="00BD68CA" w:rsidP="00C74AF2">
      <w:pPr>
        <w:spacing w:after="0" w:line="257" w:lineRule="auto"/>
        <w:rPr>
          <w:rFonts w:ascii="Calibri" w:eastAsia="Calibri" w:hAnsi="Calibri" w:cs="Calibri"/>
        </w:rPr>
      </w:pPr>
      <w:r w:rsidRPr="00BD68CA">
        <w:rPr>
          <w:rFonts w:ascii="Calibri" w:eastAsia="Calibri" w:hAnsi="Calibri" w:cs="Calibri"/>
        </w:rPr>
        <w:t xml:space="preserve">HS.E.IC.2 Evaluate how individuals, organizations and governments respond to incentives in </w:t>
      </w:r>
      <w:proofErr w:type="gramStart"/>
      <w:r w:rsidRPr="00BD68CA">
        <w:rPr>
          <w:rFonts w:ascii="Calibri" w:eastAsia="Calibri" w:hAnsi="Calibri" w:cs="Calibri"/>
        </w:rPr>
        <w:t>the decision</w:t>
      </w:r>
      <w:proofErr w:type="gramEnd"/>
      <w:r w:rsidRPr="00BD68CA">
        <w:rPr>
          <w:rFonts w:ascii="Calibri" w:eastAsia="Calibri" w:hAnsi="Calibri" w:cs="Calibri"/>
        </w:rPr>
        <w:t xml:space="preserve">-making </w:t>
      </w:r>
    </w:p>
    <w:p w14:paraId="17269C81" w14:textId="77777777" w:rsidR="00934CC7" w:rsidRDefault="00934CC7" w:rsidP="00C74AF2">
      <w:pPr>
        <w:spacing w:after="0" w:line="257" w:lineRule="auto"/>
        <w:rPr>
          <w:rFonts w:ascii="Calibri" w:eastAsia="Calibri" w:hAnsi="Calibri" w:cs="Calibri"/>
        </w:rPr>
      </w:pPr>
      <w:r w:rsidRPr="00934CC7">
        <w:rPr>
          <w:rFonts w:ascii="Calibri" w:eastAsia="Calibri" w:hAnsi="Calibri" w:cs="Calibri"/>
        </w:rPr>
        <w:t>HS.UH.CE.1 Analyze the political, economic and social impacts of industrialization on the United States between 1877-1945.</w:t>
      </w:r>
    </w:p>
    <w:p w14:paraId="4CFE3606" w14:textId="1AF0E970" w:rsidR="00934CC7" w:rsidRDefault="00934CC7" w:rsidP="00C74AF2">
      <w:pPr>
        <w:spacing w:after="0" w:line="257" w:lineRule="auto"/>
        <w:rPr>
          <w:rFonts w:ascii="Calibri" w:eastAsia="Calibri" w:hAnsi="Calibri" w:cs="Calibri"/>
        </w:rPr>
      </w:pPr>
      <w:r w:rsidRPr="00934CC7">
        <w:rPr>
          <w:rFonts w:ascii="Calibri" w:eastAsia="Calibri" w:hAnsi="Calibri" w:cs="Calibri"/>
        </w:rPr>
        <w:t>HS.UH.CE.3 Explain the political, social and economic causes and effects of economic boom and bust cycles between 1877-1945.</w:t>
      </w:r>
    </w:p>
    <w:p w14:paraId="3117C604" w14:textId="6180D6F6" w:rsidR="00934CC7" w:rsidRDefault="00934CC7" w:rsidP="00C74AF2">
      <w:pPr>
        <w:spacing w:after="0" w:line="257" w:lineRule="auto"/>
        <w:rPr>
          <w:rFonts w:ascii="Calibri" w:eastAsia="Calibri" w:hAnsi="Calibri" w:cs="Calibri"/>
        </w:rPr>
      </w:pPr>
      <w:r w:rsidRPr="00934CC7">
        <w:rPr>
          <w:rFonts w:ascii="Calibri" w:eastAsia="Calibri" w:hAnsi="Calibri" w:cs="Calibri"/>
        </w:rPr>
        <w:t>HS.UH.CE.5 Evaluate the ways in which groups facing discrimination worked to achieve expansion of rights and liberties from 1877-present.</w:t>
      </w:r>
    </w:p>
    <w:p w14:paraId="351AD0EA" w14:textId="718AFD35" w:rsidR="00934CC7" w:rsidRDefault="00934CC7" w:rsidP="00C74AF2">
      <w:pPr>
        <w:spacing w:after="0" w:line="257" w:lineRule="auto"/>
        <w:rPr>
          <w:rFonts w:ascii="Calibri" w:eastAsia="Calibri" w:hAnsi="Calibri" w:cs="Calibri"/>
        </w:rPr>
      </w:pPr>
      <w:r w:rsidRPr="00934CC7">
        <w:rPr>
          <w:rFonts w:ascii="Calibri" w:eastAsia="Calibri" w:hAnsi="Calibri" w:cs="Calibri"/>
        </w:rPr>
        <w:t>HS.UH.I.UE.3 Use appropriate evidence to construct and revise claims and counterclaims relevant to compelling and/or supporting questions in U.S. history.</w:t>
      </w:r>
    </w:p>
    <w:p w14:paraId="7B5ACB4D" w14:textId="77777777" w:rsidR="00857747" w:rsidRDefault="00BD68CA" w:rsidP="00C74AF2">
      <w:pPr>
        <w:spacing w:after="0" w:line="257" w:lineRule="auto"/>
        <w:rPr>
          <w:rFonts w:ascii="Calibri" w:eastAsia="Calibri" w:hAnsi="Calibri" w:cs="Calibri"/>
        </w:rPr>
      </w:pPr>
      <w:r w:rsidRPr="00BD68CA">
        <w:rPr>
          <w:rFonts w:ascii="Calibri" w:eastAsia="Calibri" w:hAnsi="Calibri" w:cs="Calibri"/>
        </w:rPr>
        <w:t>process.</w:t>
      </w:r>
    </w:p>
    <w:p w14:paraId="2D32767E" w14:textId="3CD96740" w:rsidR="00C74AF2"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w:t>
      </w:r>
      <w:proofErr w:type="gramStart"/>
      <w:r>
        <w:rPr>
          <w:rFonts w:ascii="Calibri" w:eastAsia="Calibri" w:hAnsi="Calibri" w:cs="Calibri"/>
          <w:i/>
        </w:rPr>
        <w:t>assignment example</w:t>
      </w:r>
      <w:proofErr w:type="gramEnd"/>
      <w:r>
        <w:rPr>
          <w:rFonts w:ascii="Calibri" w:eastAsia="Calibri" w:hAnsi="Calibri" w:cs="Calibri"/>
          <w:i/>
        </w:rPr>
        <w:t xml:space="preserve"> may not encompass the entire scope of the standards identified. </w:t>
      </w:r>
    </w:p>
    <w:p w14:paraId="26E5AD4C" w14:textId="77777777" w:rsidR="003B4C1E" w:rsidRPr="00D113E1" w:rsidRDefault="003B4C1E" w:rsidP="00C74AF2">
      <w:pPr>
        <w:spacing w:after="0" w:line="257" w:lineRule="auto"/>
        <w:rPr>
          <w:rFonts w:ascii="Calibri" w:eastAsia="Calibri" w:hAnsi="Calibri" w:cs="Calibri"/>
        </w:rPr>
      </w:pP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02143915" w14:textId="1EDF7BE2" w:rsidR="000841BF" w:rsidRDefault="00BE57A0" w:rsidP="000841BF">
      <w:pPr>
        <w:pStyle w:val="Normal1"/>
        <w:spacing w:line="240" w:lineRule="auto"/>
        <w:rPr>
          <w:rFonts w:asciiTheme="minorHAnsi" w:eastAsiaTheme="minorHAnsi" w:hAnsiTheme="minorHAnsi" w:cstheme="minorHAnsi"/>
        </w:rPr>
      </w:pPr>
      <w:r w:rsidRPr="00BE57A0">
        <w:rPr>
          <w:rFonts w:asciiTheme="minorHAnsi" w:eastAsiaTheme="minorHAnsi" w:hAnsiTheme="minorHAnsi" w:cstheme="minorHAnsi"/>
        </w:rPr>
        <w:t xml:space="preserve">Students learn about </w:t>
      </w:r>
      <w:proofErr w:type="gramStart"/>
      <w:r w:rsidRPr="00BE57A0">
        <w:rPr>
          <w:rFonts w:asciiTheme="minorHAnsi" w:eastAsiaTheme="minorHAnsi" w:hAnsiTheme="minorHAnsi" w:cstheme="minorHAnsi"/>
        </w:rPr>
        <w:t>the Great</w:t>
      </w:r>
      <w:proofErr w:type="gramEnd"/>
      <w:r w:rsidRPr="00BE57A0">
        <w:rPr>
          <w:rFonts w:asciiTheme="minorHAnsi" w:eastAsiaTheme="minorHAnsi" w:hAnsiTheme="minorHAnsi" w:cstheme="minorHAnsi"/>
        </w:rPr>
        <w:t xml:space="preserve"> Migration by combining the paintings of Jacob Lawrence with economic concepts. In the lesson, students are shown paintings from Jacob Lawrence’s The Migration Series. They are asked to match economic concepts and graphs to the paintings, helping the students understand how different disciplines view an event in history. </w:t>
      </w:r>
    </w:p>
    <w:p w14:paraId="646FE438" w14:textId="77777777" w:rsidR="007C0B0D" w:rsidRPr="007B504B" w:rsidRDefault="007C0B0D"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1EA5D7C7" w14:textId="729B537A" w:rsidR="003B4C1E" w:rsidRPr="00FB278F" w:rsidRDefault="00D428A7"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w:t>
            </w:r>
            <w:proofErr w:type="gramStart"/>
            <w:r w:rsidR="00C74AF2" w:rsidRPr="00FB278F">
              <w:rPr>
                <w:rFonts w:asciiTheme="minorHAnsi" w:eastAsia="Calibri" w:hAnsiTheme="minorHAnsi" w:cstheme="minorHAnsi"/>
                <w:b/>
                <w:bCs/>
              </w:rPr>
              <w:t xml:space="preserve">: </w:t>
            </w:r>
            <w:r w:rsidR="003B4C1E" w:rsidRPr="00FB278F">
              <w:rPr>
                <w:rStyle w:val="ui-provider"/>
                <w:rFonts w:asciiTheme="minorHAnsi" w:hAnsiTheme="minorHAnsi" w:cstheme="minorHAnsi"/>
              </w:rPr>
              <w:t xml:space="preserve"> </w:t>
            </w:r>
            <w:r w:rsidR="00857747" w:rsidRPr="00857747">
              <w:rPr>
                <w:rStyle w:val="ui-provider"/>
                <w:rFonts w:asciiTheme="minorHAnsi" w:hAnsiTheme="minorHAnsi" w:cstheme="minorHAnsi"/>
              </w:rPr>
              <w:t>How</w:t>
            </w:r>
            <w:proofErr w:type="gramEnd"/>
            <w:r w:rsidR="00857747" w:rsidRPr="00857747">
              <w:rPr>
                <w:rStyle w:val="ui-provider"/>
                <w:rFonts w:asciiTheme="minorHAnsi" w:hAnsiTheme="minorHAnsi" w:cstheme="minorHAnsi"/>
              </w:rPr>
              <w:t xml:space="preserve"> do art and economics describe struggles of migrants during the Great Migration?</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693EB3F9" w14:textId="56A4B1C2" w:rsidR="00FB278F" w:rsidRDefault="004A0041" w:rsidP="00FB278F">
      <w:pPr>
        <w:pStyle w:val="Default"/>
        <w:rPr>
          <w:sz w:val="22"/>
          <w:szCs w:val="22"/>
        </w:rPr>
      </w:pPr>
      <w:r>
        <w:rPr>
          <w:sz w:val="22"/>
          <w:szCs w:val="22"/>
        </w:rPr>
        <w:t xml:space="preserve">The </w:t>
      </w:r>
      <w:hyperlink r:id="rId12" w:history="1">
        <w:r w:rsidRPr="004A0041">
          <w:rPr>
            <w:rStyle w:val="Hyperlink"/>
            <w:sz w:val="22"/>
            <w:szCs w:val="22"/>
          </w:rPr>
          <w:t>Jacob Lawrence: The Great Migration</w:t>
        </w:r>
      </w:hyperlink>
      <w:r>
        <w:rPr>
          <w:sz w:val="22"/>
          <w:szCs w:val="22"/>
        </w:rPr>
        <w:t xml:space="preserve"> webpage</w:t>
      </w:r>
      <w:r w:rsidR="00FB278F">
        <w:rPr>
          <w:sz w:val="22"/>
          <w:szCs w:val="22"/>
        </w:rPr>
        <w:t xml:space="preserve"> includes detailed procedure steps and includes all handouts, printables and</w:t>
      </w:r>
      <w:r>
        <w:rPr>
          <w:sz w:val="22"/>
          <w:szCs w:val="22"/>
        </w:rPr>
        <w:t xml:space="preserve"> images</w:t>
      </w:r>
      <w:r w:rsidR="00FB278F">
        <w:rPr>
          <w:sz w:val="22"/>
          <w:szCs w:val="22"/>
        </w:rPr>
        <w:t xml:space="preserve"> that might be needed to successfully complete each lesson. </w:t>
      </w:r>
    </w:p>
    <w:p w14:paraId="31185841" w14:textId="318C5D97" w:rsidR="002F5BFC" w:rsidRPr="002F5BFC" w:rsidRDefault="002F5BFC" w:rsidP="002F5BFC">
      <w:pPr>
        <w:pStyle w:val="Default"/>
        <w:rPr>
          <w:i/>
          <w:iCs/>
          <w:sz w:val="22"/>
          <w:szCs w:val="22"/>
        </w:rPr>
      </w:pPr>
      <w:r>
        <w:rPr>
          <w:rStyle w:val="Hyperlink"/>
          <w:i/>
          <w:iCs/>
          <w:color w:val="000000"/>
          <w:sz w:val="22"/>
          <w:szCs w:val="22"/>
          <w:u w:val="none"/>
        </w:rPr>
        <w:t xml:space="preserve">Note: the lessons in the links above reference </w:t>
      </w:r>
      <w:r w:rsidR="003530B6">
        <w:rPr>
          <w:rStyle w:val="Hyperlink"/>
          <w:i/>
          <w:iCs/>
          <w:color w:val="000000"/>
          <w:sz w:val="22"/>
          <w:szCs w:val="22"/>
          <w:u w:val="none"/>
        </w:rPr>
        <w:t xml:space="preserve">national standards such as the </w:t>
      </w:r>
      <w:r w:rsidR="006479B0">
        <w:rPr>
          <w:rStyle w:val="Hyperlink"/>
          <w:i/>
          <w:iCs/>
          <w:color w:val="000000"/>
          <w:sz w:val="22"/>
          <w:szCs w:val="22"/>
          <w:u w:val="none"/>
        </w:rPr>
        <w:t xml:space="preserve">National </w:t>
      </w:r>
      <w:r w:rsidR="00EC2BC3">
        <w:rPr>
          <w:rStyle w:val="Hyperlink"/>
          <w:i/>
          <w:iCs/>
          <w:color w:val="000000"/>
          <w:sz w:val="22"/>
          <w:szCs w:val="22"/>
          <w:u w:val="none"/>
        </w:rPr>
        <w:t>Standards for History</w:t>
      </w:r>
      <w:r w:rsidR="00054958">
        <w:rPr>
          <w:rStyle w:val="Hyperlink"/>
          <w:i/>
          <w:iCs/>
          <w:color w:val="000000"/>
          <w:sz w:val="22"/>
          <w:szCs w:val="22"/>
          <w:u w:val="none"/>
        </w:rPr>
        <w:t xml:space="preserve"> and </w:t>
      </w:r>
      <w:r w:rsidR="00392ADF">
        <w:rPr>
          <w:rStyle w:val="Hyperlink"/>
          <w:i/>
          <w:iCs/>
          <w:color w:val="000000"/>
          <w:sz w:val="22"/>
          <w:szCs w:val="22"/>
          <w:u w:val="none"/>
        </w:rPr>
        <w:t xml:space="preserve">Voluntary </w:t>
      </w:r>
      <w:r w:rsidR="00054958">
        <w:rPr>
          <w:rStyle w:val="Hyperlink"/>
          <w:i/>
          <w:iCs/>
          <w:color w:val="000000"/>
          <w:sz w:val="22"/>
          <w:szCs w:val="22"/>
          <w:u w:val="none"/>
        </w:rPr>
        <w:t>National Content Standards</w:t>
      </w:r>
      <w:r w:rsidR="00392ADF">
        <w:rPr>
          <w:rStyle w:val="Hyperlink"/>
          <w:i/>
          <w:iCs/>
          <w:color w:val="000000"/>
          <w:sz w:val="22"/>
          <w:szCs w:val="22"/>
          <w:u w:val="none"/>
        </w:rPr>
        <w:t xml:space="preserve"> in Economics</w:t>
      </w:r>
      <w:r w:rsidR="006365E6">
        <w:rPr>
          <w:rStyle w:val="Hyperlink"/>
          <w:i/>
          <w:iCs/>
          <w:color w:val="000000"/>
          <w:sz w:val="22"/>
          <w:szCs w:val="22"/>
          <w:u w:val="none"/>
        </w:rPr>
        <w:t>, which are not utilized in Kentucky.</w:t>
      </w:r>
    </w:p>
    <w:p w14:paraId="277ECB54" w14:textId="77777777" w:rsidR="0096411C" w:rsidRDefault="0096411C"/>
    <w:sectPr w:rsidR="0096411C"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0590744">
    <w:abstractNumId w:val="3"/>
  </w:num>
  <w:num w:numId="2" w16cid:durableId="142695838">
    <w:abstractNumId w:val="1"/>
  </w:num>
  <w:num w:numId="3" w16cid:durableId="493953481">
    <w:abstractNumId w:val="2"/>
  </w:num>
  <w:num w:numId="4" w16cid:durableId="52174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303AF"/>
    <w:rsid w:val="00054958"/>
    <w:rsid w:val="00072821"/>
    <w:rsid w:val="000841BF"/>
    <w:rsid w:val="001D1811"/>
    <w:rsid w:val="00281FA3"/>
    <w:rsid w:val="002B1B46"/>
    <w:rsid w:val="002C3A0F"/>
    <w:rsid w:val="002F5BFC"/>
    <w:rsid w:val="003530B6"/>
    <w:rsid w:val="00392ADF"/>
    <w:rsid w:val="003B4C1E"/>
    <w:rsid w:val="004A0041"/>
    <w:rsid w:val="005732A8"/>
    <w:rsid w:val="00620810"/>
    <w:rsid w:val="006365E6"/>
    <w:rsid w:val="006479B0"/>
    <w:rsid w:val="006C0DBA"/>
    <w:rsid w:val="007508B1"/>
    <w:rsid w:val="007C0B0D"/>
    <w:rsid w:val="007D321A"/>
    <w:rsid w:val="00813F42"/>
    <w:rsid w:val="00857747"/>
    <w:rsid w:val="00912CDF"/>
    <w:rsid w:val="0093115C"/>
    <w:rsid w:val="00934CC7"/>
    <w:rsid w:val="0096411C"/>
    <w:rsid w:val="009F07F5"/>
    <w:rsid w:val="00A30B0A"/>
    <w:rsid w:val="00AB3AB7"/>
    <w:rsid w:val="00B708CC"/>
    <w:rsid w:val="00BC3CAE"/>
    <w:rsid w:val="00BD68CA"/>
    <w:rsid w:val="00BE57A0"/>
    <w:rsid w:val="00C74AF2"/>
    <w:rsid w:val="00D428A7"/>
    <w:rsid w:val="00EC2BC3"/>
    <w:rsid w:val="00FB278F"/>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louisfed.org/education/economics-great-migration-curriculum/jacob-lawrence-the-migration-ser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KYED-536-2208</_dlc_DocId>
    <_dlc_DocIdUrl xmlns="3a62de7d-ba57-4f43-9dae-9623ba637be0">
      <Url>https://www.education.ky.gov/curriculum/standards/kyacadstand/_layouts/15/DocIdRedir.aspx?ID=KYED-536-2208</Url>
      <Description>KYED-536-2208</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2.xml><?xml version="1.0" encoding="utf-8"?>
<ds:datastoreItem xmlns:ds="http://schemas.openxmlformats.org/officeDocument/2006/customXml" ds:itemID="{90988EEB-FC0A-4386-9D7F-40AB28685CD4}"/>
</file>

<file path=customXml/itemProps3.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customXml/itemProps4.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5.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2025-02-27T15:33:00Z</dcterms:created>
  <dcterms:modified xsi:type="dcterms:W3CDTF">2025-02-27T15:33:00Z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cf887de3-77b4-43c4-9674-7c104aa3ab29</vt:lpwstr>
  </property>
  <property fmtid="{D5CDD505-2E9C-101B-9397-08002B2CF9AE}" pid="11" name="MSIP_Label_eb544694-0027-44fa-bee4-2648c0363f9d_Enabled">
    <vt:lpwstr>true</vt:lpwstr>
  </property>
  <property fmtid="{D5CDD505-2E9C-101B-9397-08002B2CF9AE}" pid="12" name="MSIP_Label_eb544694-0027-44fa-bee4-2648c0363f9d_SetDate">
    <vt:lpwstr>2025-02-26T18:51:56Z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acd8ed56-249b-44ac-9d54-a85716b04286</vt:lpwstr>
  </property>
  <property fmtid="{D5CDD505-2E9C-101B-9397-08002B2CF9AE}" pid="17" name="MSIP_Label_eb544694-0027-44fa-bee4-2648c0363f9d_ContentBits">
    <vt:lpwstr>0</vt:lpwstr>
  </property>
  <property fmtid="{D5CDD505-2E9C-101B-9397-08002B2CF9AE}" pid="18" name="MSIP_Label_eb544694-0027-44fa-bee4-2648c0363f9d_Tag">
    <vt:lpwstr>10, 3, 0, 1</vt:lpwstr>
  </property>
</Properties>
</file>