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2989504" w14:textId="77777777" w:rsidR="00D63D18" w:rsidRDefault="00B91964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5: Lesson Planning Tool</w:t>
      </w:r>
    </w:p>
    <w:p w14:paraId="62999F3B" w14:textId="0988681B" w:rsidR="00D63D18" w:rsidRDefault="00B91964">
      <w:pPr>
        <w:rPr>
          <w:rFonts w:ascii="Poppins" w:eastAsia="Poppins" w:hAnsi="Poppins" w:cs="Poppins"/>
          <w:i/>
          <w:sz w:val="18"/>
          <w:szCs w:val="18"/>
        </w:rPr>
      </w:pPr>
      <w:r>
        <w:rPr>
          <w:rFonts w:ascii="Poppins" w:eastAsia="Poppins" w:hAnsi="Poppins" w:cs="Poppins"/>
          <w:i/>
          <w:sz w:val="18"/>
          <w:szCs w:val="18"/>
        </w:rPr>
        <w:t>This lesson planning tool draws from the Mathematics Assignment Review Protocol. Teachers may choose to utilize other planning methods and resources during this session.</w:t>
      </w:r>
    </w:p>
    <w:p w14:paraId="3A7E801D" w14:textId="77777777" w:rsidR="00D63D18" w:rsidRDefault="00D63D18">
      <w:pPr>
        <w:rPr>
          <w:rFonts w:ascii="Poppins" w:eastAsia="Poppins" w:hAnsi="Poppins" w:cs="Poppins"/>
          <w:sz w:val="18"/>
          <w:szCs w:val="18"/>
        </w:rPr>
      </w:pPr>
    </w:p>
    <w:tbl>
      <w:tblPr>
        <w:tblStyle w:val="a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90"/>
      </w:tblGrid>
      <w:tr w:rsidR="00D63D18" w14:paraId="4CA4E08F" w14:textId="77777777" w:rsidTr="00D85AF8">
        <w:trPr>
          <w:trHeight w:val="480"/>
        </w:trPr>
        <w:tc>
          <w:tcPr>
            <w:tcW w:w="10890" w:type="dxa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9EAC" w14:textId="77777777" w:rsidR="00D63D18" w:rsidRDefault="00B91964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 xml:space="preserve">Planning for Instruction </w:t>
            </w:r>
          </w:p>
        </w:tc>
      </w:tr>
      <w:tr w:rsidR="00D63D18" w14:paraId="155E5227" w14:textId="77777777" w:rsidTr="00D85AF8">
        <w:trPr>
          <w:trHeight w:val="400"/>
        </w:trPr>
        <w:tc>
          <w:tcPr>
            <w:tcW w:w="108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7B101" w14:textId="77777777" w:rsidR="00D63D18" w:rsidRDefault="00B91964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Content Standard(s):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Does the lesson/task focus on one or more grade-appropriate mathematics standards?</w:t>
            </w:r>
          </w:p>
        </w:tc>
      </w:tr>
      <w:tr w:rsidR="00D63D18" w14:paraId="3E476430" w14:textId="77777777" w:rsidTr="00D85AF8">
        <w:tc>
          <w:tcPr>
            <w:tcW w:w="10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24D1A" w14:textId="77777777" w:rsidR="00D63D18" w:rsidRDefault="00B9196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What standard(s) does this lesson address? </w:t>
            </w:r>
          </w:p>
          <w:p w14:paraId="47D4BB5B" w14:textId="446441E8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541441C" w14:textId="43DED66A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6D47E18" w14:textId="77777777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72474E4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CA518B5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4B1B557" w14:textId="77777777" w:rsidR="00D63D18" w:rsidRDefault="00B9196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What standards (within or across grade-level coherence) does the lesson rely upon?</w:t>
            </w:r>
          </w:p>
          <w:p w14:paraId="70869F6C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79EE3BF" w14:textId="30F6338A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0240049" w14:textId="302BD17A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C1010F6" w14:textId="77777777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5941DC9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D63D18" w14:paraId="294E949A" w14:textId="77777777" w:rsidTr="00D85AF8">
        <w:trPr>
          <w:trHeight w:val="400"/>
        </w:trPr>
        <w:tc>
          <w:tcPr>
            <w:tcW w:w="108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B59CE" w14:textId="77777777" w:rsidR="00D63D18" w:rsidRDefault="00B91964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Learning Plan: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Script out the key lesson components.</w:t>
            </w:r>
          </w:p>
          <w:p w14:paraId="211121E8" w14:textId="77777777" w:rsidR="00D63D18" w:rsidRDefault="00B91964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(e.g. Do Now, Activating Prior Knowledge, New Learning, Guided Practice, Independent Practice, Closing, etc)</w:t>
            </w:r>
          </w:p>
        </w:tc>
      </w:tr>
      <w:tr w:rsidR="00D63D18" w14:paraId="54B200DB" w14:textId="77777777" w:rsidTr="00B77F97">
        <w:trPr>
          <w:trHeight w:val="3021"/>
        </w:trPr>
        <w:tc>
          <w:tcPr>
            <w:tcW w:w="10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7B12F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A453EBA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D843991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4A13AE8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85D97D9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99710D7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36DB3A5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2916283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E7CFD74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C141804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9EA393C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9A255DC" w14:textId="2F6766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CD2A671" w14:textId="28481445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03E5F06" w14:textId="23D05FB8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BF4D71C" w14:textId="4AED08AA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2724425" w14:textId="74ACDF82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707748B" w14:textId="77777777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3C4D96C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1D5F1DC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7AC2E6E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37E23EE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9351F81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6065AA0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CCF7FE5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F6A50E1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3A91267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C633341" w14:textId="26988167" w:rsidR="00B77F97" w:rsidRDefault="00B77F97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tbl>
      <w:tblPr>
        <w:tblStyle w:val="a0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602"/>
        <w:gridCol w:w="3644"/>
        <w:gridCol w:w="3644"/>
      </w:tblGrid>
      <w:tr w:rsidR="00D63D18" w14:paraId="184EB3C7" w14:textId="77777777" w:rsidTr="00B77F97">
        <w:trPr>
          <w:trHeight w:val="400"/>
        </w:trPr>
        <w:tc>
          <w:tcPr>
            <w:tcW w:w="1089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0B724" w14:textId="77777777" w:rsidR="00D63D18" w:rsidRDefault="00B91964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Do the Math: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Select a given task or tasks from the lesson. </w:t>
            </w:r>
          </w:p>
        </w:tc>
      </w:tr>
      <w:tr w:rsidR="00D63D18" w14:paraId="1880894C" w14:textId="77777777" w:rsidTr="00B77F97">
        <w:trPr>
          <w:trHeight w:val="5600"/>
        </w:trPr>
        <w:tc>
          <w:tcPr>
            <w:tcW w:w="108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388A6" w14:textId="77777777" w:rsidR="00D63D18" w:rsidRDefault="00B9196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Solve the task by creating an exemplar student response.</w:t>
            </w:r>
          </w:p>
          <w:p w14:paraId="05AE1A5B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335C491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0C2A84C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6BF393E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103AA88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4B20749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CCE5A4E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36B3390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2A5CAE4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D6573C7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8178929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9F5CB13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57C884C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58590C4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00FA224" w14:textId="640EBBB4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443E5F9" w14:textId="77777777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2CC3159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E8DD6E1" w14:textId="77777777" w:rsidR="00D63D18" w:rsidRDefault="00B9196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Predict incorrect solution strategies (e.g., misconceptions, procedural errors). How will you proactively address these misconceptions?</w:t>
            </w:r>
          </w:p>
          <w:p w14:paraId="5FA5EA0B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55CE8E0" w14:textId="77777777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691F9B0" w14:textId="77777777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924E117" w14:textId="77777777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880CE0B" w14:textId="77777777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9809296" w14:textId="77777777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1554065" w14:textId="77777777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27974BE" w14:textId="748444ED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D63D18" w14:paraId="61FFCA7F" w14:textId="77777777" w:rsidTr="00B77F97">
        <w:trPr>
          <w:trHeight w:val="360"/>
        </w:trPr>
        <w:tc>
          <w:tcPr>
            <w:tcW w:w="1089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EE25" w14:textId="77777777" w:rsidR="00D63D18" w:rsidRDefault="00B91964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Target of the Standard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: How does the lesson/task engage students in reaching the target of the standard?</w:t>
            </w:r>
          </w:p>
        </w:tc>
      </w:tr>
      <w:tr w:rsidR="00D63D18" w14:paraId="6C25B065" w14:textId="77777777" w:rsidTr="000B501F">
        <w:trPr>
          <w:trHeight w:val="4821"/>
        </w:trPr>
        <w:tc>
          <w:tcPr>
            <w:tcW w:w="36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847CC" w14:textId="04C58529" w:rsidR="00D63D18" w:rsidRDefault="00B91964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Conceptual Understanding</w:t>
            </w:r>
          </w:p>
          <w:p w14:paraId="31B738E6" w14:textId="49F0F21F" w:rsidR="00D63D18" w:rsidRDefault="00B77F97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building conceptual understanding, w</w:t>
            </w:r>
            <w:r w:rsidR="00B91964">
              <w:rPr>
                <w:rFonts w:ascii="Poppins" w:eastAsia="Poppins" w:hAnsi="Poppins" w:cs="Poppins"/>
                <w:sz w:val="18"/>
                <w:szCs w:val="18"/>
              </w:rPr>
              <w:t>hat do students have to</w:t>
            </w:r>
            <w:r w:rsidR="00B91964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 xml:space="preserve"> know</w:t>
            </w:r>
            <w:r w:rsidR="00B91964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</w:t>
            </w:r>
          </w:p>
          <w:p w14:paraId="5D0E9696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13B3D9D4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75B84B9D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3A39CFAE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56E1139C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13BA39DE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AA63B" w14:textId="11DA728C" w:rsidR="00D63D18" w:rsidRDefault="00B91964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Procedural Skill</w:t>
            </w:r>
            <w:r w:rsidR="00B77F97"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/Fluency</w:t>
            </w:r>
          </w:p>
          <w:p w14:paraId="4CD80232" w14:textId="07691B67" w:rsidR="00D63D18" w:rsidRDefault="00B77F97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procedural skill/fluency, w</w:t>
            </w:r>
            <w:r w:rsidR="00B91964">
              <w:rPr>
                <w:rFonts w:ascii="Poppins" w:eastAsia="Poppins" w:hAnsi="Poppins" w:cs="Poppins"/>
                <w:sz w:val="18"/>
                <w:szCs w:val="18"/>
              </w:rPr>
              <w:t>hat do students have to be able to do/</w:t>
            </w:r>
            <w:r w:rsidR="00B91964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>show</w:t>
            </w:r>
            <w:r w:rsidR="00B91964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How are students asked to connect procedures back to underlying conceptual ideas?</w:t>
            </w:r>
          </w:p>
          <w:p w14:paraId="15D90D10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2D6CA92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5261FE0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2A1B03C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FF2E228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3DB1C1B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21027" w14:textId="77777777" w:rsidR="00D63D18" w:rsidRDefault="00B91964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Application</w:t>
            </w:r>
          </w:p>
          <w:p w14:paraId="57BD6D7C" w14:textId="77777777" w:rsidR="00D63D18" w:rsidRDefault="00B77F97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application, w</w:t>
            </w:r>
            <w:r w:rsidR="00B91964">
              <w:rPr>
                <w:rFonts w:ascii="Poppins" w:eastAsia="Poppins" w:hAnsi="Poppins" w:cs="Poppins"/>
                <w:sz w:val="18"/>
                <w:szCs w:val="18"/>
              </w:rPr>
              <w:t>hat opportunities exist for students to apply their learning to solve problems in a relevant and meaningful way?</w:t>
            </w:r>
          </w:p>
          <w:p w14:paraId="64C10255" w14:textId="77777777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99F5ECA" w14:textId="77777777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88A3143" w14:textId="77777777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D60B7A2" w14:textId="77777777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7E80F94" w14:textId="77777777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7502E76" w14:textId="77777777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3056D24" w14:textId="77777777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3344F70" w14:textId="77777777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1DF64FA" w14:textId="77777777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6640F1C" w14:textId="77777777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B08B184" w14:textId="77777777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0C2618F" w14:textId="278EFB62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</w:p>
        </w:tc>
      </w:tr>
    </w:tbl>
    <w:tbl>
      <w:tblPr>
        <w:tblStyle w:val="a1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90"/>
      </w:tblGrid>
      <w:tr w:rsidR="00D63D18" w14:paraId="7BC04385" w14:textId="77777777" w:rsidTr="000B501F">
        <w:trPr>
          <w:trHeight w:val="380"/>
        </w:trPr>
        <w:tc>
          <w:tcPr>
            <w:tcW w:w="108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08DCA" w14:textId="77777777" w:rsidR="00D63D18" w:rsidRDefault="00B91964">
            <w:pPr>
              <w:widowControl w:val="0"/>
              <w:spacing w:after="200"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Standards for Mathematical Practices: </w:t>
            </w:r>
          </w:p>
          <w:p w14:paraId="1AEC4365" w14:textId="77777777" w:rsidR="00D63D18" w:rsidRDefault="00B91964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Which mathematical practices will you explicitly teach and/or ask students to engage with during this lesson/task? </w:t>
            </w:r>
          </w:p>
          <w:p w14:paraId="74E23854" w14:textId="77777777" w:rsidR="00D63D18" w:rsidRDefault="00B91964">
            <w:pPr>
              <w:widowControl w:val="0"/>
              <w:numPr>
                <w:ilvl w:val="0"/>
                <w:numId w:val="1"/>
              </w:numPr>
              <w:spacing w:after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If the task you’ve selected doesn’t explicitly offer students the opportunity to engage with the intended SMP, what instructional strategies will you use to engage students in both the KAS content </w:t>
            </w: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and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practice standards? (e.g., adjusting the task and/or activities related to the task - group work, whole group discussion, etc)</w:t>
            </w:r>
          </w:p>
          <w:p w14:paraId="2597E906" w14:textId="77777777" w:rsidR="00D63D18" w:rsidRDefault="00D63D1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FD3646B" w14:textId="037716C4" w:rsidR="00D63D18" w:rsidRDefault="00B91964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Teachers are encouraged to visit the front matter and/or Attending to the SMPs section of the KAS for Mathematics and the “Engaging the SMPs: Look-fors &amp; Question Stems” resource </w:t>
            </w:r>
            <w:bookmarkStart w:id="0" w:name="_GoBack"/>
            <w:bookmarkEnd w:id="0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for additional guidance. </w:t>
            </w:r>
          </w:p>
        </w:tc>
      </w:tr>
      <w:tr w:rsidR="00D63D18" w14:paraId="307780D5" w14:textId="77777777" w:rsidTr="000B501F">
        <w:trPr>
          <w:trHeight w:val="8250"/>
        </w:trPr>
        <w:tc>
          <w:tcPr>
            <w:tcW w:w="10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B3FAD" w14:textId="77777777" w:rsidR="00D63D18" w:rsidRDefault="00D63D1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0F69B26" w14:textId="77777777" w:rsidR="00D63D18" w:rsidRDefault="00D63D1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FAAEFB3" w14:textId="77777777" w:rsidR="00D63D18" w:rsidRDefault="00D63D1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BBA7946" w14:textId="77777777" w:rsidR="00D63D18" w:rsidRDefault="00D63D1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BCB44B3" w14:textId="77777777" w:rsidR="00D63D18" w:rsidRDefault="00D63D1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01771CD" w14:textId="77777777" w:rsidR="00D63D18" w:rsidRDefault="00D63D1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E759918" w14:textId="77777777" w:rsidR="00D63D18" w:rsidRDefault="00D63D1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07EFC78" w14:textId="77777777" w:rsidR="00D63D18" w:rsidRDefault="00D63D1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2A85DC2" w14:textId="77777777" w:rsidR="00D63D18" w:rsidRDefault="00D63D1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021D755" w14:textId="77777777" w:rsidR="00D63D18" w:rsidRDefault="00D63D1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D4EBB62" w14:textId="77777777" w:rsidR="00D63D18" w:rsidRDefault="00D63D1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p w14:paraId="73964A3C" w14:textId="77777777" w:rsidR="00D63D18" w:rsidRDefault="00D63D18">
      <w:pPr>
        <w:spacing w:line="240" w:lineRule="auto"/>
      </w:pPr>
    </w:p>
    <w:sectPr w:rsidR="00D63D18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EFCC8" w14:textId="77777777" w:rsidR="000373CF" w:rsidRDefault="00B91964">
      <w:pPr>
        <w:spacing w:line="240" w:lineRule="auto"/>
      </w:pPr>
      <w:r>
        <w:separator/>
      </w:r>
    </w:p>
  </w:endnote>
  <w:endnote w:type="continuationSeparator" w:id="0">
    <w:p w14:paraId="3620A7D4" w14:textId="77777777" w:rsidR="000373CF" w:rsidRDefault="00B91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D82AC" w14:textId="77777777" w:rsidR="00D63D18" w:rsidRDefault="00D63D18">
    <w:pPr>
      <w:spacing w:line="240" w:lineRule="auto"/>
      <w:rPr>
        <w:rFonts w:ascii="Poppins" w:eastAsia="Poppins" w:hAnsi="Poppins" w:cs="Poppins"/>
        <w:color w:val="25282A"/>
        <w:sz w:val="18"/>
        <w:szCs w:val="18"/>
      </w:rPr>
    </w:pPr>
  </w:p>
  <w:p w14:paraId="471AFD9D" w14:textId="77777777" w:rsidR="00D63D18" w:rsidRDefault="00B91964">
    <w:pPr>
      <w:spacing w:line="240" w:lineRule="auto"/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C1584A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ADE59" w14:textId="77777777" w:rsidR="000373CF" w:rsidRDefault="00B91964">
      <w:pPr>
        <w:spacing w:line="240" w:lineRule="auto"/>
      </w:pPr>
      <w:r>
        <w:separator/>
      </w:r>
    </w:p>
  </w:footnote>
  <w:footnote w:type="continuationSeparator" w:id="0">
    <w:p w14:paraId="08543327" w14:textId="77777777" w:rsidR="000373CF" w:rsidRDefault="00B91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BFBAF" w14:textId="14367CAE" w:rsidR="00D63D18" w:rsidRDefault="001D15A4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C14E6BA" wp14:editId="394AD5AD">
          <wp:simplePos x="0" y="0"/>
          <wp:positionH relativeFrom="column">
            <wp:posOffset>977900</wp:posOffset>
          </wp:positionH>
          <wp:positionV relativeFrom="paragraph">
            <wp:posOffset>-90805</wp:posOffset>
          </wp:positionV>
          <wp:extent cx="1319213" cy="571500"/>
          <wp:effectExtent l="0" t="0" r="0" b="0"/>
          <wp:wrapSquare wrapText="bothSides" distT="0" distB="0" distL="114300" distR="11430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91964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0288" behindDoc="0" locked="0" layoutInCell="1" allowOverlap="1" wp14:anchorId="4D913914" wp14:editId="7D451E84">
          <wp:simplePos x="0" y="0"/>
          <wp:positionH relativeFrom="margin">
            <wp:posOffset>-68580</wp:posOffset>
          </wp:positionH>
          <wp:positionV relativeFrom="margin">
            <wp:posOffset>-842645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535837" w14:textId="77777777" w:rsidR="00D63D18" w:rsidRDefault="00B91964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2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: Focusing on SMP 1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</w:t>
    </w:r>
  </w:p>
  <w:p w14:paraId="606C288B" w14:textId="77777777" w:rsidR="00D63D18" w:rsidRDefault="00B91964">
    <w:pPr>
      <w:spacing w:line="240" w:lineRule="auto"/>
      <w:ind w:left="2340"/>
      <w:jc w:val="right"/>
      <w:rPr>
        <w:rFonts w:ascii="Poppins" w:eastAsia="Poppins" w:hAnsi="Poppins" w:cs="Poppins"/>
        <w:b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60797"/>
    <w:multiLevelType w:val="multilevel"/>
    <w:tmpl w:val="A5DA3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18"/>
    <w:rsid w:val="000373CF"/>
    <w:rsid w:val="000B501F"/>
    <w:rsid w:val="001D15A4"/>
    <w:rsid w:val="00576EFC"/>
    <w:rsid w:val="00932ADF"/>
    <w:rsid w:val="00B77F97"/>
    <w:rsid w:val="00B91964"/>
    <w:rsid w:val="00C1584A"/>
    <w:rsid w:val="00D63D18"/>
    <w:rsid w:val="00D8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225319"/>
  <w15:docId w15:val="{3B0AF8AA-D5DC-4A1D-9BEF-388572FC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15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5A4"/>
  </w:style>
  <w:style w:type="paragraph" w:styleId="Footer">
    <w:name w:val="footer"/>
    <w:basedOn w:val="Normal"/>
    <w:link w:val="FooterChar"/>
    <w:uiPriority w:val="99"/>
    <w:unhideWhenUsed/>
    <w:rsid w:val="001D15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KYED-536-965</_dlc_DocId>
    <_dlc_DocIdUrl xmlns="3a62de7d-ba57-4f43-9dae-9623ba637be0">
      <Url>https://www.education.ky.gov/curriculum/standards/kyacadstand/_layouts/15/DocIdRedir.aspx?ID=KYED-536-965</Url>
      <Description>KYED-536-965</Description>
    </_dlc_DocIdUrl>
    <Content_x0020_Review_x0020_Status xmlns="3a62de7d-ba57-4f43-9dae-9623ba637b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813FE7-83FF-4330-A7C5-78CC0957884A}">
  <ds:schemaRefs>
    <ds:schemaRef ds:uri="http://schemas.microsoft.com/office/infopath/2007/PartnerControls"/>
    <ds:schemaRef ds:uri="http://purl.org/dc/terms/"/>
    <ds:schemaRef ds:uri="12423c08-2846-40b6-adb1-6ff477af9c4c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621773ed-55dc-4476-af5e-5bf4e5742684"/>
  </ds:schemaRefs>
</ds:datastoreItem>
</file>

<file path=customXml/itemProps2.xml><?xml version="1.0" encoding="utf-8"?>
<ds:datastoreItem xmlns:ds="http://schemas.openxmlformats.org/officeDocument/2006/customXml" ds:itemID="{27EE3379-5243-4B55-8158-F2C287BB05A2}"/>
</file>

<file path=customXml/itemProps3.xml><?xml version="1.0" encoding="utf-8"?>
<ds:datastoreItem xmlns:ds="http://schemas.openxmlformats.org/officeDocument/2006/customXml" ds:itemID="{8C0D57E3-B4E4-4FC2-8AF4-D0F21EF00F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A87D57-5EC6-4C56-99A8-96C701BC9D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9</cp:revision>
  <dcterms:created xsi:type="dcterms:W3CDTF">2020-07-20T15:33:00Z</dcterms:created>
  <dcterms:modified xsi:type="dcterms:W3CDTF">2020-08-17T17:03:00Z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9e17add7-ad5f-4bd7-a9e0-23951aed58d4</vt:lpwstr>
  </property>
</Properties>
</file>