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252244A" w14:textId="77777777" w:rsidR="007E1CFF" w:rsidRDefault="007E1CFF">
      <w:pPr>
        <w:widowControl w:val="0"/>
        <w:spacing w:line="240" w:lineRule="auto"/>
        <w:rPr>
          <w:rFonts w:ascii="Calibri" w:eastAsia="Calibri" w:hAnsi="Calibri" w:cs="Calibri"/>
          <w:sz w:val="24"/>
          <w:szCs w:val="24"/>
        </w:rPr>
      </w:pPr>
      <w:bookmarkStart w:id="0" w:name="_GoBack"/>
      <w:bookmarkEnd w:id="0"/>
    </w:p>
    <w:tbl>
      <w:tblPr>
        <w:tblW w:w="13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Pr>
      <w:tblGrid>
        <w:gridCol w:w="2685"/>
        <w:gridCol w:w="3855"/>
        <w:gridCol w:w="6590"/>
      </w:tblGrid>
      <w:tr w:rsidR="007E1CFF" w14:paraId="68EDF9C4" w14:textId="77777777" w:rsidTr="56785BCF">
        <w:tc>
          <w:tcPr>
            <w:tcW w:w="2685" w:type="dxa"/>
            <w:shd w:val="clear" w:color="auto" w:fill="D9D9D9" w:themeFill="background1" w:themeFillShade="D9"/>
            <w:tcMar>
              <w:top w:w="100" w:type="dxa"/>
              <w:left w:w="100" w:type="dxa"/>
              <w:bottom w:w="100" w:type="dxa"/>
              <w:right w:w="100" w:type="dxa"/>
            </w:tcMar>
          </w:tcPr>
          <w:p w14:paraId="3446FAC2" w14:textId="77777777" w:rsidR="007E1CFF" w:rsidRDefault="005E5245">
            <w:pPr>
              <w:spacing w:line="240" w:lineRule="auto"/>
              <w:ind w:left="60"/>
              <w:jc w:val="center"/>
              <w:rPr>
                <w:rFonts w:ascii="Poppins" w:eastAsia="Poppins" w:hAnsi="Poppins" w:cs="Poppins"/>
                <w:b/>
              </w:rPr>
            </w:pPr>
            <w:r>
              <w:rPr>
                <w:rFonts w:ascii="Poppins" w:eastAsia="Poppins" w:hAnsi="Poppins" w:cs="Poppins"/>
                <w:b/>
              </w:rPr>
              <w:t>Objectives</w:t>
            </w:r>
          </w:p>
          <w:p w14:paraId="220EB015" w14:textId="77777777" w:rsidR="007E1CFF" w:rsidRDefault="005E5245">
            <w:pPr>
              <w:spacing w:line="240" w:lineRule="auto"/>
              <w:ind w:left="60"/>
              <w:jc w:val="center"/>
              <w:rPr>
                <w:rFonts w:ascii="Poppins" w:eastAsia="Poppins" w:hAnsi="Poppins" w:cs="Poppins"/>
              </w:rPr>
            </w:pPr>
            <w:r>
              <w:rPr>
                <w:rFonts w:ascii="Poppins" w:eastAsia="Poppins" w:hAnsi="Poppins" w:cs="Poppins"/>
                <w:i/>
              </w:rPr>
              <w:t>What will teachers know or be able to do?</w:t>
            </w:r>
          </w:p>
        </w:tc>
        <w:tc>
          <w:tcPr>
            <w:tcW w:w="3855" w:type="dxa"/>
            <w:shd w:val="clear" w:color="auto" w:fill="D9D9D9" w:themeFill="background1" w:themeFillShade="D9"/>
            <w:tcMar>
              <w:top w:w="100" w:type="dxa"/>
              <w:left w:w="100" w:type="dxa"/>
              <w:bottom w:w="100" w:type="dxa"/>
              <w:right w:w="100" w:type="dxa"/>
            </w:tcMar>
          </w:tcPr>
          <w:p w14:paraId="2885D3AC" w14:textId="77777777" w:rsidR="007E1CFF" w:rsidRDefault="005E5245">
            <w:pPr>
              <w:spacing w:line="240" w:lineRule="auto"/>
              <w:ind w:left="60"/>
              <w:jc w:val="center"/>
              <w:rPr>
                <w:rFonts w:ascii="Poppins" w:eastAsia="Poppins" w:hAnsi="Poppins" w:cs="Poppins"/>
                <w:b/>
              </w:rPr>
            </w:pPr>
            <w:r>
              <w:rPr>
                <w:rFonts w:ascii="Poppins" w:eastAsia="Poppins" w:hAnsi="Poppins" w:cs="Poppins"/>
                <w:b/>
              </w:rPr>
              <w:t xml:space="preserve">Look </w:t>
            </w:r>
            <w:proofErr w:type="spellStart"/>
            <w:r>
              <w:rPr>
                <w:rFonts w:ascii="Poppins" w:eastAsia="Poppins" w:hAnsi="Poppins" w:cs="Poppins"/>
                <w:b/>
              </w:rPr>
              <w:t>Fors</w:t>
            </w:r>
            <w:proofErr w:type="spellEnd"/>
          </w:p>
          <w:p w14:paraId="3116303F" w14:textId="77777777" w:rsidR="007E1CFF" w:rsidRDefault="005E5245">
            <w:pPr>
              <w:spacing w:line="240" w:lineRule="auto"/>
              <w:ind w:left="60"/>
              <w:jc w:val="center"/>
              <w:rPr>
                <w:rFonts w:ascii="Poppins" w:eastAsia="Poppins" w:hAnsi="Poppins" w:cs="Poppins"/>
              </w:rPr>
            </w:pPr>
            <w:r>
              <w:rPr>
                <w:rFonts w:ascii="Poppins" w:eastAsia="Poppins" w:hAnsi="Poppins" w:cs="Poppins"/>
                <w:i/>
              </w:rPr>
              <w:t xml:space="preserve">What look </w:t>
            </w:r>
            <w:proofErr w:type="spellStart"/>
            <w:r>
              <w:rPr>
                <w:rFonts w:ascii="Poppins" w:eastAsia="Poppins" w:hAnsi="Poppins" w:cs="Poppins"/>
                <w:i/>
              </w:rPr>
              <w:t>fors</w:t>
            </w:r>
            <w:proofErr w:type="spellEnd"/>
            <w:r>
              <w:rPr>
                <w:rFonts w:ascii="Poppins" w:eastAsia="Poppins" w:hAnsi="Poppins" w:cs="Poppins"/>
                <w:i/>
              </w:rPr>
              <w:t xml:space="preserve"> describe a successful product or performance for this objective?</w:t>
            </w:r>
          </w:p>
        </w:tc>
        <w:tc>
          <w:tcPr>
            <w:tcW w:w="6590" w:type="dxa"/>
            <w:shd w:val="clear" w:color="auto" w:fill="D9D9D9" w:themeFill="background1" w:themeFillShade="D9"/>
            <w:tcMar>
              <w:top w:w="100" w:type="dxa"/>
              <w:left w:w="100" w:type="dxa"/>
              <w:bottom w:w="100" w:type="dxa"/>
              <w:right w:w="100" w:type="dxa"/>
            </w:tcMar>
          </w:tcPr>
          <w:p w14:paraId="3B45B4A8" w14:textId="77777777" w:rsidR="007E1CFF" w:rsidRDefault="005E5245">
            <w:pPr>
              <w:spacing w:line="240" w:lineRule="auto"/>
              <w:ind w:left="60"/>
              <w:jc w:val="center"/>
              <w:rPr>
                <w:rFonts w:ascii="Poppins" w:eastAsia="Poppins" w:hAnsi="Poppins" w:cs="Poppins"/>
                <w:b/>
              </w:rPr>
            </w:pPr>
            <w:r>
              <w:rPr>
                <w:rFonts w:ascii="Poppins" w:eastAsia="Poppins" w:hAnsi="Poppins" w:cs="Poppins"/>
                <w:b/>
              </w:rPr>
              <w:t xml:space="preserve">Sample Evidence </w:t>
            </w:r>
          </w:p>
          <w:p w14:paraId="7C306DB7" w14:textId="77777777" w:rsidR="007E1CFF" w:rsidRDefault="005E5245" w:rsidP="00C34CD1">
            <w:pPr>
              <w:pStyle w:val="Heading8"/>
            </w:pPr>
            <w:r>
              <w:t>What does success look like?</w:t>
            </w:r>
          </w:p>
        </w:tc>
      </w:tr>
      <w:tr w:rsidR="007E1CFF" w14:paraId="70F80388" w14:textId="77777777" w:rsidTr="56785BCF">
        <w:tc>
          <w:tcPr>
            <w:tcW w:w="2685" w:type="dxa"/>
            <w:shd w:val="clear" w:color="auto" w:fill="auto"/>
            <w:tcMar>
              <w:top w:w="100" w:type="dxa"/>
              <w:left w:w="100" w:type="dxa"/>
              <w:bottom w:w="100" w:type="dxa"/>
              <w:right w:w="100" w:type="dxa"/>
            </w:tcMar>
          </w:tcPr>
          <w:p w14:paraId="0C93D0D0" w14:textId="77777777" w:rsidR="007E1CFF" w:rsidRDefault="005E5245">
            <w:pPr>
              <w:spacing w:line="240" w:lineRule="auto"/>
              <w:ind w:left="60"/>
              <w:rPr>
                <w:rFonts w:ascii="Poppins" w:eastAsia="Poppins" w:hAnsi="Poppins" w:cs="Poppins"/>
              </w:rPr>
            </w:pPr>
            <w:r>
              <w:rPr>
                <w:rFonts w:ascii="Poppins" w:eastAsia="Poppins" w:hAnsi="Poppins" w:cs="Poppins"/>
              </w:rPr>
              <w:t>Explain why vocabulary instruction matters for equity</w:t>
            </w:r>
          </w:p>
        </w:tc>
        <w:tc>
          <w:tcPr>
            <w:tcW w:w="3855" w:type="dxa"/>
            <w:shd w:val="clear" w:color="auto" w:fill="auto"/>
            <w:tcMar>
              <w:top w:w="100" w:type="dxa"/>
              <w:left w:w="100" w:type="dxa"/>
              <w:bottom w:w="100" w:type="dxa"/>
              <w:right w:w="100" w:type="dxa"/>
            </w:tcMar>
          </w:tcPr>
          <w:p w14:paraId="1DBE71AA" w14:textId="77777777" w:rsidR="007E1CFF" w:rsidRDefault="005E5245">
            <w:pPr>
              <w:numPr>
                <w:ilvl w:val="0"/>
                <w:numId w:val="1"/>
              </w:numPr>
              <w:spacing w:line="240" w:lineRule="auto"/>
              <w:rPr>
                <w:rFonts w:ascii="Poppins" w:eastAsia="Poppins" w:hAnsi="Poppins" w:cs="Poppins"/>
                <w:highlight w:val="white"/>
              </w:rPr>
            </w:pPr>
            <w:r w:rsidRPr="79C2B20E">
              <w:rPr>
                <w:rFonts w:ascii="Poppins" w:eastAsia="Poppins" w:hAnsi="Poppins" w:cs="Poppins"/>
                <w:highlight w:val="white"/>
              </w:rPr>
              <w:t>Explains the link between vocabulary instruction and reading comprehension</w:t>
            </w:r>
          </w:p>
          <w:p w14:paraId="30B83CA1" w14:textId="554A25A2" w:rsidR="79C2B20E" w:rsidRDefault="79C2B20E" w:rsidP="79C2B20E">
            <w:pPr>
              <w:spacing w:line="240" w:lineRule="auto"/>
              <w:rPr>
                <w:rFonts w:ascii="Poppins" w:eastAsia="Poppins" w:hAnsi="Poppins" w:cs="Poppins"/>
                <w:highlight w:val="white"/>
              </w:rPr>
            </w:pPr>
          </w:p>
          <w:p w14:paraId="2E1B3FC8" w14:textId="4A2B01C4" w:rsidR="007E1CFF" w:rsidRDefault="005E5245">
            <w:pPr>
              <w:numPr>
                <w:ilvl w:val="0"/>
                <w:numId w:val="1"/>
              </w:numPr>
              <w:spacing w:line="240" w:lineRule="auto"/>
              <w:rPr>
                <w:rFonts w:ascii="Poppins" w:eastAsia="Poppins" w:hAnsi="Poppins" w:cs="Poppins"/>
                <w:highlight w:val="white"/>
              </w:rPr>
            </w:pPr>
            <w:r>
              <w:rPr>
                <w:rFonts w:ascii="Poppins" w:eastAsia="Poppins" w:hAnsi="Poppins" w:cs="Poppins"/>
                <w:highlight w:val="white"/>
              </w:rPr>
              <w:t>Cites at least one piece of research</w:t>
            </w:r>
          </w:p>
        </w:tc>
        <w:tc>
          <w:tcPr>
            <w:tcW w:w="6590" w:type="dxa"/>
            <w:shd w:val="clear" w:color="auto" w:fill="auto"/>
            <w:tcMar>
              <w:top w:w="100" w:type="dxa"/>
              <w:left w:w="100" w:type="dxa"/>
              <w:bottom w:w="100" w:type="dxa"/>
              <w:right w:w="100" w:type="dxa"/>
            </w:tcMar>
          </w:tcPr>
          <w:p w14:paraId="666A97E6" w14:textId="77777777" w:rsidR="007E1CFF" w:rsidRPr="00B71689" w:rsidRDefault="005E5245" w:rsidP="00B71689">
            <w:pPr>
              <w:widowControl w:val="0"/>
              <w:spacing w:line="240" w:lineRule="auto"/>
              <w:ind w:left="462" w:hanging="540"/>
              <w:rPr>
                <w:rFonts w:ascii="Poppins" w:eastAsia="Poppins" w:hAnsi="Poppins" w:cs="Poppins"/>
              </w:rPr>
            </w:pPr>
            <w:r w:rsidRPr="79C2B20E">
              <w:rPr>
                <w:rFonts w:ascii="Poppins" w:eastAsia="Poppins" w:hAnsi="Poppins" w:cs="Poppins"/>
              </w:rPr>
              <w:t xml:space="preserve">Some key ideas participants may include: </w:t>
            </w:r>
          </w:p>
          <w:p w14:paraId="382031A8" w14:textId="367496A7" w:rsidR="79C2B20E" w:rsidRDefault="79C2B20E" w:rsidP="79C2B20E">
            <w:pPr>
              <w:spacing w:line="240" w:lineRule="auto"/>
              <w:ind w:left="462" w:hanging="540"/>
              <w:rPr>
                <w:rFonts w:ascii="Poppins" w:eastAsia="Poppins" w:hAnsi="Poppins" w:cs="Poppins"/>
              </w:rPr>
            </w:pPr>
          </w:p>
          <w:p w14:paraId="22522DE5" w14:textId="77777777" w:rsidR="007E1CFF" w:rsidRPr="00B71689" w:rsidRDefault="005E5245" w:rsidP="00B71689">
            <w:pPr>
              <w:widowControl w:val="0"/>
              <w:numPr>
                <w:ilvl w:val="1"/>
                <w:numId w:val="2"/>
              </w:numPr>
              <w:spacing w:line="240" w:lineRule="auto"/>
              <w:ind w:left="720" w:hanging="618"/>
              <w:rPr>
                <w:rFonts w:ascii="Poppins" w:eastAsia="Poppins" w:hAnsi="Poppins" w:cs="Poppins"/>
              </w:rPr>
            </w:pPr>
            <w:r w:rsidRPr="79C2B20E">
              <w:rPr>
                <w:rFonts w:ascii="Poppins" w:eastAsia="Poppins" w:hAnsi="Poppins" w:cs="Poppins"/>
              </w:rPr>
              <w:t>Students who have not had as much exposure to language and words need vocabulary instruction to help them better reach their academic potential.</w:t>
            </w:r>
          </w:p>
          <w:p w14:paraId="180219EE" w14:textId="0DF51D3F" w:rsidR="79C2B20E" w:rsidRDefault="79C2B20E" w:rsidP="79C2B20E">
            <w:pPr>
              <w:spacing w:line="240" w:lineRule="auto"/>
              <w:rPr>
                <w:rFonts w:ascii="Poppins" w:eastAsia="Poppins" w:hAnsi="Poppins" w:cs="Poppins"/>
              </w:rPr>
            </w:pPr>
          </w:p>
          <w:p w14:paraId="45B76DC7" w14:textId="77777777" w:rsidR="007E1CFF" w:rsidRPr="00B71689" w:rsidRDefault="005E5245" w:rsidP="00B71689">
            <w:pPr>
              <w:widowControl w:val="0"/>
              <w:numPr>
                <w:ilvl w:val="1"/>
                <w:numId w:val="2"/>
              </w:numPr>
              <w:spacing w:line="240" w:lineRule="auto"/>
              <w:ind w:left="720" w:hanging="618"/>
              <w:rPr>
                <w:rFonts w:ascii="Poppins" w:eastAsia="Poppins" w:hAnsi="Poppins" w:cs="Poppins"/>
              </w:rPr>
            </w:pPr>
            <w:r w:rsidRPr="79C2B20E">
              <w:rPr>
                <w:rFonts w:ascii="Poppins" w:eastAsia="Poppins" w:hAnsi="Poppins" w:cs="Poppins"/>
              </w:rPr>
              <w:t xml:space="preserve">In order to understand complex texts, students need to have strong vocabularies. </w:t>
            </w:r>
          </w:p>
          <w:p w14:paraId="167C05F6" w14:textId="50A65F10" w:rsidR="79C2B20E" w:rsidRDefault="79C2B20E" w:rsidP="79C2B20E">
            <w:pPr>
              <w:spacing w:line="240" w:lineRule="auto"/>
              <w:rPr>
                <w:rFonts w:ascii="Poppins" w:eastAsia="Poppins" w:hAnsi="Poppins" w:cs="Poppins"/>
              </w:rPr>
            </w:pPr>
          </w:p>
          <w:p w14:paraId="28FB3EFD" w14:textId="5A97E5EC" w:rsidR="007E1CFF" w:rsidRPr="00B71689" w:rsidRDefault="005E5245" w:rsidP="00B71689">
            <w:pPr>
              <w:widowControl w:val="0"/>
              <w:numPr>
                <w:ilvl w:val="1"/>
                <w:numId w:val="2"/>
              </w:numPr>
              <w:spacing w:line="240" w:lineRule="auto"/>
              <w:ind w:left="720" w:hanging="618"/>
              <w:rPr>
                <w:rFonts w:ascii="Poppins" w:eastAsia="Poppins" w:hAnsi="Poppins" w:cs="Poppins"/>
              </w:rPr>
            </w:pPr>
            <w:r w:rsidRPr="79C2B20E">
              <w:rPr>
                <w:rFonts w:ascii="Poppins" w:eastAsia="Poppins" w:hAnsi="Poppins" w:cs="Poppins"/>
              </w:rPr>
              <w:t>There is an educational phenomenon whereby students who start behind stay behind and those students who are ahead, stay ahead. In order to stem this progression, instruction in vocabulary is critical to ensure equity</w:t>
            </w:r>
            <w:r w:rsidR="09200349" w:rsidRPr="79C2B20E">
              <w:rPr>
                <w:rFonts w:ascii="Poppins" w:eastAsia="Poppins" w:hAnsi="Poppins" w:cs="Poppins"/>
              </w:rPr>
              <w:t>.</w:t>
            </w:r>
          </w:p>
          <w:p w14:paraId="243F18A1" w14:textId="2C5097E8" w:rsidR="79C2B20E" w:rsidRDefault="79C2B20E" w:rsidP="79C2B20E">
            <w:pPr>
              <w:spacing w:line="240" w:lineRule="auto"/>
              <w:rPr>
                <w:rFonts w:ascii="Poppins" w:eastAsia="Poppins" w:hAnsi="Poppins" w:cs="Poppins"/>
              </w:rPr>
            </w:pPr>
          </w:p>
          <w:p w14:paraId="49AC45A1" w14:textId="77777777" w:rsidR="007E1CFF" w:rsidRPr="00B71689" w:rsidRDefault="005E5245" w:rsidP="00B71689">
            <w:pPr>
              <w:widowControl w:val="0"/>
              <w:numPr>
                <w:ilvl w:val="1"/>
                <w:numId w:val="2"/>
              </w:numPr>
              <w:spacing w:line="240" w:lineRule="auto"/>
              <w:ind w:left="720" w:hanging="618"/>
              <w:rPr>
                <w:rFonts w:ascii="Poppins" w:eastAsia="Poppins" w:hAnsi="Poppins" w:cs="Poppins"/>
                <w:sz w:val="20"/>
                <w:szCs w:val="20"/>
              </w:rPr>
            </w:pPr>
            <w:r w:rsidRPr="00B71689">
              <w:rPr>
                <w:rFonts w:ascii="Poppins" w:eastAsia="Poppins" w:hAnsi="Poppins" w:cs="Poppins"/>
              </w:rPr>
              <w:t xml:space="preserve">From the pre-work reading: “We know that of the many features of complex text, difficult or uncommon vocabulary likely plays the largest role in causing student difficulty (Nelson </w:t>
            </w:r>
            <w:r w:rsidRPr="00B71689">
              <w:rPr>
                <w:rFonts w:ascii="Poppins" w:eastAsia="Poppins" w:hAnsi="Poppins" w:cs="Poppins"/>
                <w:i/>
              </w:rPr>
              <w:t>et al</w:t>
            </w:r>
            <w:r w:rsidRPr="00B71689">
              <w:rPr>
                <w:rFonts w:ascii="Poppins" w:eastAsia="Poppins" w:hAnsi="Poppins" w:cs="Poppins"/>
              </w:rPr>
              <w:t xml:space="preserve"> 2012). We also know vocabulary is one of the primary causes of the achievement gap (Becker 1977, Baumann &amp; </w:t>
            </w:r>
            <w:proofErr w:type="spellStart"/>
            <w:r w:rsidRPr="00B71689">
              <w:rPr>
                <w:rFonts w:ascii="Poppins" w:eastAsia="Poppins" w:hAnsi="Poppins" w:cs="Poppins"/>
              </w:rPr>
              <w:t>Kameenui</w:t>
            </w:r>
            <w:proofErr w:type="spellEnd"/>
            <w:r w:rsidRPr="00B71689">
              <w:rPr>
                <w:rFonts w:ascii="Poppins" w:eastAsia="Poppins" w:hAnsi="Poppins" w:cs="Poppins"/>
              </w:rPr>
              <w:t xml:space="preserve"> 1991, Stanovich 1986), and many students from low-income households enter school with smaller vocabularies than their more affluent peers (Hart and </w:t>
            </w:r>
            <w:proofErr w:type="spellStart"/>
            <w:r w:rsidRPr="00B71689">
              <w:rPr>
                <w:rFonts w:ascii="Poppins" w:eastAsia="Poppins" w:hAnsi="Poppins" w:cs="Poppins"/>
              </w:rPr>
              <w:t>Risley</w:t>
            </w:r>
            <w:proofErr w:type="spellEnd"/>
            <w:r w:rsidRPr="00B71689">
              <w:rPr>
                <w:rFonts w:ascii="Poppins" w:eastAsia="Poppins" w:hAnsi="Poppins" w:cs="Poppins"/>
              </w:rPr>
              <w:t xml:space="preserve"> 1995, </w:t>
            </w:r>
            <w:proofErr w:type="spellStart"/>
            <w:r w:rsidRPr="00B71689">
              <w:rPr>
                <w:rFonts w:ascii="Poppins" w:eastAsia="Poppins" w:hAnsi="Poppins" w:cs="Poppins"/>
              </w:rPr>
              <w:t>Biemiller</w:t>
            </w:r>
            <w:proofErr w:type="spellEnd"/>
            <w:r w:rsidRPr="00B71689">
              <w:rPr>
                <w:rFonts w:ascii="Poppins" w:eastAsia="Poppins" w:hAnsi="Poppins" w:cs="Poppins"/>
              </w:rPr>
              <w:t xml:space="preserve"> 2010).”</w:t>
            </w:r>
            <w:r w:rsidRPr="00B71689">
              <w:rPr>
                <w:rFonts w:ascii="Poppins" w:eastAsia="Poppins" w:hAnsi="Poppins" w:cs="Poppins"/>
                <w:sz w:val="20"/>
                <w:szCs w:val="20"/>
              </w:rPr>
              <w:t xml:space="preserve"> </w:t>
            </w:r>
          </w:p>
        </w:tc>
      </w:tr>
    </w:tbl>
    <w:p w14:paraId="75AC74A2" w14:textId="77777777" w:rsidR="007E1CFF" w:rsidRDefault="007E1CFF">
      <w:pPr>
        <w:widowControl w:val="0"/>
        <w:spacing w:line="240" w:lineRule="auto"/>
        <w:rPr>
          <w:rFonts w:ascii="Poppins" w:eastAsia="Poppins" w:hAnsi="Poppins" w:cs="Poppins"/>
        </w:rPr>
      </w:pPr>
    </w:p>
    <w:sectPr w:rsidR="007E1CFF">
      <w:headerReference w:type="even" r:id="rId10"/>
      <w:headerReference w:type="default" r:id="rId11"/>
      <w:footerReference w:type="even" r:id="rId12"/>
      <w:footerReference w:type="default" r:id="rId13"/>
      <w:headerReference w:type="first" r:id="rId14"/>
      <w:footerReference w:type="first" r:id="rId15"/>
      <w:pgSz w:w="15840" w:h="12240" w:orient="landscape"/>
      <w:pgMar w:top="863" w:right="1440" w:bottom="863"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985E3" w14:textId="77777777" w:rsidR="005E5245" w:rsidRDefault="005E5245">
      <w:pPr>
        <w:spacing w:line="240" w:lineRule="auto"/>
      </w:pPr>
      <w:r>
        <w:separator/>
      </w:r>
    </w:p>
  </w:endnote>
  <w:endnote w:type="continuationSeparator" w:id="0">
    <w:p w14:paraId="681F5B03" w14:textId="77777777" w:rsidR="005E5245" w:rsidRDefault="005E5245">
      <w:pPr>
        <w:spacing w:line="240" w:lineRule="auto"/>
      </w:pPr>
      <w:r>
        <w:continuationSeparator/>
      </w:r>
    </w:p>
  </w:endnote>
  <w:endnote w:type="continuationNotice" w:id="1">
    <w:p w14:paraId="2DCE5955" w14:textId="77777777" w:rsidR="00677E8E" w:rsidRDefault="00677E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14B04" w14:textId="77777777" w:rsidR="00AA1485" w:rsidRDefault="00AA1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DE883" w14:textId="77777777" w:rsidR="00AA1485" w:rsidRDefault="00AA14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EAF1" w14:textId="77777777" w:rsidR="00AA1485" w:rsidRDefault="00AA1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94066" w14:textId="77777777" w:rsidR="005E5245" w:rsidRDefault="005E5245">
      <w:pPr>
        <w:spacing w:line="240" w:lineRule="auto"/>
      </w:pPr>
      <w:r>
        <w:separator/>
      </w:r>
    </w:p>
  </w:footnote>
  <w:footnote w:type="continuationSeparator" w:id="0">
    <w:p w14:paraId="64772ED6" w14:textId="77777777" w:rsidR="005E5245" w:rsidRDefault="005E5245">
      <w:pPr>
        <w:spacing w:line="240" w:lineRule="auto"/>
      </w:pPr>
      <w:r>
        <w:continuationSeparator/>
      </w:r>
    </w:p>
  </w:footnote>
  <w:footnote w:type="continuationNotice" w:id="1">
    <w:p w14:paraId="7E0C728A" w14:textId="77777777" w:rsidR="00677E8E" w:rsidRDefault="00677E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D632C" w14:textId="77777777" w:rsidR="00AA1485" w:rsidRDefault="00AA1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2BC52" w14:textId="618F0B78" w:rsidR="007E1CFF" w:rsidRDefault="00ED2BEC">
    <w:pPr>
      <w:spacing w:line="240" w:lineRule="auto"/>
      <w:rPr>
        <w:rFonts w:ascii="Calibri" w:eastAsia="Calibri" w:hAnsi="Calibri" w:cs="Calibri"/>
        <w:sz w:val="24"/>
        <w:szCs w:val="24"/>
      </w:rPr>
    </w:pPr>
    <w:r>
      <w:rPr>
        <w:noProof/>
      </w:rPr>
      <w:drawing>
        <wp:anchor distT="0" distB="0" distL="114300" distR="114300" simplePos="0" relativeHeight="251658242" behindDoc="0" locked="0" layoutInCell="1" hidden="0" allowOverlap="1" wp14:anchorId="5D1C4C6C" wp14:editId="0D756221">
          <wp:simplePos x="0" y="0"/>
          <wp:positionH relativeFrom="column">
            <wp:posOffset>7513320</wp:posOffset>
          </wp:positionH>
          <wp:positionV relativeFrom="paragraph">
            <wp:posOffset>91440</wp:posOffset>
          </wp:positionV>
          <wp:extent cx="1318895" cy="571500"/>
          <wp:effectExtent l="0" t="0" r="0" b="0"/>
          <wp:wrapSquare wrapText="bothSides"/>
          <wp:docPr id="3"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18895" cy="571500"/>
                  </a:xfrm>
                  <a:prstGeom prst="rect">
                    <a:avLst/>
                  </a:prstGeom>
                  <a:ln/>
                </pic:spPr>
              </pic:pic>
            </a:graphicData>
          </a:graphic>
        </wp:anchor>
      </w:drawing>
    </w:r>
    <w:r>
      <w:rPr>
        <w:rFonts w:ascii="Calibri" w:eastAsia="Calibri" w:hAnsi="Calibri" w:cs="Calibri"/>
        <w:noProof/>
        <w:sz w:val="24"/>
        <w:szCs w:val="24"/>
      </w:rPr>
      <w:drawing>
        <wp:anchor distT="0" distB="0" distL="114300" distR="114300" simplePos="0" relativeHeight="251658241" behindDoc="0" locked="0" layoutInCell="1" allowOverlap="1" wp14:anchorId="67AB4F14" wp14:editId="0CDDABFD">
          <wp:simplePos x="0" y="0"/>
          <wp:positionH relativeFrom="leftMargin">
            <wp:align>right</wp:align>
          </wp:positionH>
          <wp:positionV relativeFrom="paragraph">
            <wp:posOffset>7620</wp:posOffset>
          </wp:positionV>
          <wp:extent cx="792480" cy="792480"/>
          <wp:effectExtent l="0" t="0" r="7620" b="762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anchor>
      </w:drawing>
    </w:r>
    <w:r w:rsidR="005E5245">
      <w:rPr>
        <w:noProof/>
      </w:rPr>
      <w:drawing>
        <wp:anchor distT="0" distB="0" distL="0" distR="0" simplePos="0" relativeHeight="251658240" behindDoc="0" locked="0" layoutInCell="1" hidden="0" allowOverlap="1" wp14:anchorId="502DB401" wp14:editId="2F1BD2DE">
          <wp:simplePos x="0" y="0"/>
          <wp:positionH relativeFrom="column">
            <wp:posOffset>-914399</wp:posOffset>
          </wp:positionH>
          <wp:positionV relativeFrom="paragraph">
            <wp:posOffset>-66674</wp:posOffset>
          </wp:positionV>
          <wp:extent cx="909638" cy="752332"/>
          <wp:effectExtent l="0" t="0" r="0" b="0"/>
          <wp:wrapSquare wrapText="bothSides" distT="0" distB="0" distL="0" distR="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909638" cy="752332"/>
                  </a:xfrm>
                  <a:prstGeom prst="rect">
                    <a:avLst/>
                  </a:prstGeom>
                  <a:ln/>
                </pic:spPr>
              </pic:pic>
            </a:graphicData>
          </a:graphic>
        </wp:anchor>
      </w:drawing>
    </w:r>
  </w:p>
  <w:p w14:paraId="04FF952C" w14:textId="18E6992D" w:rsidR="007E1CFF" w:rsidRDefault="005E5245">
    <w:pPr>
      <w:spacing w:line="240" w:lineRule="auto"/>
      <w:rPr>
        <w:rFonts w:ascii="Poppins" w:eastAsia="Poppins" w:hAnsi="Poppins" w:cs="Poppins"/>
        <w:b/>
        <w:color w:val="2D68C4"/>
        <w:sz w:val="36"/>
        <w:szCs w:val="36"/>
      </w:rPr>
    </w:pPr>
    <w:r>
      <w:rPr>
        <w:rFonts w:ascii="Poppins" w:eastAsia="Poppins" w:hAnsi="Poppins" w:cs="Poppins"/>
        <w:b/>
        <w:color w:val="2D68C4"/>
        <w:sz w:val="36"/>
        <w:szCs w:val="36"/>
      </w:rPr>
      <w:t xml:space="preserve">Introduction to Vocabulary Instruction </w:t>
    </w:r>
    <w:r w:rsidR="00ED2BEC">
      <w:rPr>
        <w:rFonts w:ascii="Poppins" w:eastAsia="Poppins" w:hAnsi="Poppins" w:cs="Poppins"/>
        <w:b/>
        <w:color w:val="2D68C4"/>
        <w:sz w:val="36"/>
        <w:szCs w:val="36"/>
      </w:rPr>
      <w:tab/>
    </w:r>
    <w:r w:rsidR="00ED2BEC">
      <w:rPr>
        <w:rFonts w:ascii="Poppins" w:eastAsia="Poppins" w:hAnsi="Poppins" w:cs="Poppins"/>
        <w:b/>
        <w:color w:val="2D68C4"/>
        <w:sz w:val="36"/>
        <w:szCs w:val="36"/>
      </w:rPr>
      <w:tab/>
    </w:r>
    <w:r w:rsidR="00ED2BEC">
      <w:rPr>
        <w:rFonts w:ascii="Poppins" w:eastAsia="Poppins" w:hAnsi="Poppins" w:cs="Poppins"/>
        <w:b/>
        <w:color w:val="2D68C4"/>
        <w:sz w:val="36"/>
        <w:szCs w:val="36"/>
      </w:rPr>
      <w:tab/>
    </w:r>
    <w:r w:rsidR="00ED2BEC">
      <w:rPr>
        <w:rFonts w:ascii="Poppins" w:eastAsia="Poppins" w:hAnsi="Poppins" w:cs="Poppins"/>
        <w:b/>
        <w:color w:val="2D68C4"/>
        <w:sz w:val="36"/>
        <w:szCs w:val="36"/>
      </w:rPr>
      <w:tab/>
    </w:r>
    <w:r w:rsidR="00ED2BEC">
      <w:rPr>
        <w:rFonts w:ascii="Poppins" w:eastAsia="Poppins" w:hAnsi="Poppins" w:cs="Poppins"/>
        <w:b/>
        <w:color w:val="2D68C4"/>
        <w:sz w:val="36"/>
        <w:szCs w:val="36"/>
      </w:rPr>
      <w:tab/>
    </w:r>
    <w:r w:rsidR="00ED2BEC">
      <w:rPr>
        <w:rFonts w:ascii="Poppins" w:eastAsia="Poppins" w:hAnsi="Poppins" w:cs="Poppins"/>
        <w:b/>
        <w:color w:val="2D68C4"/>
        <w:sz w:val="36"/>
        <w:szCs w:val="36"/>
      </w:rPr>
      <w:tab/>
    </w:r>
  </w:p>
  <w:p w14:paraId="5C0A645E" w14:textId="664F5014" w:rsidR="007E1CFF" w:rsidRDefault="00AA1485" w:rsidP="00ED2BEC">
    <w:pPr>
      <w:pStyle w:val="Heading7"/>
    </w:pPr>
    <w:r>
      <w:t xml:space="preserve">Session 1: </w:t>
    </w:r>
    <w:r w:rsidR="005E5245" w:rsidRPr="00ED2BEC">
      <w:t>Sample Evidence, Objective 1</w:t>
    </w:r>
    <w:r w:rsidR="001C1E37">
      <w:t>, Facilitator’s Handout</w:t>
    </w:r>
  </w:p>
  <w:p w14:paraId="45DEDBBC" w14:textId="77777777" w:rsidR="00ED2BEC" w:rsidRPr="00ED2BEC" w:rsidRDefault="00ED2BEC" w:rsidP="00ED2BEC">
    <w:pPr>
      <w:spacing w:line="240" w:lineRule="auto"/>
      <w:rPr>
        <w:rFonts w:ascii="Poppins" w:eastAsia="Poppins" w:hAnsi="Poppins" w:cs="Poppins"/>
        <w:color w:val="215868" w:themeColor="accent5" w:themeShade="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C0472" w14:textId="77777777" w:rsidR="00AA1485" w:rsidRDefault="00AA1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74745"/>
    <w:multiLevelType w:val="multilevel"/>
    <w:tmpl w:val="DE90E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3C6265"/>
    <w:multiLevelType w:val="multilevel"/>
    <w:tmpl w:val="1AEEA6C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CFF"/>
    <w:rsid w:val="000B3AD9"/>
    <w:rsid w:val="001C1E37"/>
    <w:rsid w:val="001D5732"/>
    <w:rsid w:val="00376E9F"/>
    <w:rsid w:val="004C0DAC"/>
    <w:rsid w:val="005E5245"/>
    <w:rsid w:val="00677E8E"/>
    <w:rsid w:val="007E1CFF"/>
    <w:rsid w:val="00AA1485"/>
    <w:rsid w:val="00B71689"/>
    <w:rsid w:val="00BF147E"/>
    <w:rsid w:val="00C34CD1"/>
    <w:rsid w:val="00ED2BEC"/>
    <w:rsid w:val="00EF2202"/>
    <w:rsid w:val="09200349"/>
    <w:rsid w:val="56785BCF"/>
    <w:rsid w:val="79C2B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3C3B4E"/>
  <w15:docId w15:val="{C2314FBD-20EE-430D-9330-5D1AADEE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ED2BEC"/>
    <w:pPr>
      <w:keepNext/>
      <w:spacing w:line="240" w:lineRule="auto"/>
      <w:outlineLvl w:val="6"/>
    </w:pPr>
    <w:rPr>
      <w:rFonts w:ascii="Poppins" w:eastAsia="Poppins" w:hAnsi="Poppins" w:cs="Poppins"/>
      <w:color w:val="215868" w:themeColor="accent5" w:themeShade="80"/>
      <w:sz w:val="28"/>
      <w:szCs w:val="28"/>
    </w:rPr>
  </w:style>
  <w:style w:type="paragraph" w:styleId="Heading8">
    <w:name w:val="heading 8"/>
    <w:basedOn w:val="Normal"/>
    <w:next w:val="Normal"/>
    <w:link w:val="Heading8Char"/>
    <w:uiPriority w:val="9"/>
    <w:unhideWhenUsed/>
    <w:qFormat/>
    <w:rsid w:val="00C34CD1"/>
    <w:pPr>
      <w:keepNext/>
      <w:spacing w:line="240" w:lineRule="auto"/>
      <w:ind w:left="60"/>
      <w:jc w:val="center"/>
      <w:outlineLvl w:val="7"/>
    </w:pPr>
    <w:rPr>
      <w:rFonts w:ascii="Poppins" w:eastAsia="Poppins" w:hAnsi="Poppins" w:cs="Poppin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D2BEC"/>
    <w:pPr>
      <w:tabs>
        <w:tab w:val="center" w:pos="4680"/>
        <w:tab w:val="right" w:pos="9360"/>
      </w:tabs>
      <w:spacing w:line="240" w:lineRule="auto"/>
    </w:pPr>
  </w:style>
  <w:style w:type="character" w:customStyle="1" w:styleId="HeaderChar">
    <w:name w:val="Header Char"/>
    <w:basedOn w:val="DefaultParagraphFont"/>
    <w:link w:val="Header"/>
    <w:uiPriority w:val="99"/>
    <w:rsid w:val="00ED2BEC"/>
  </w:style>
  <w:style w:type="paragraph" w:styleId="Footer">
    <w:name w:val="footer"/>
    <w:basedOn w:val="Normal"/>
    <w:link w:val="FooterChar"/>
    <w:uiPriority w:val="99"/>
    <w:unhideWhenUsed/>
    <w:rsid w:val="00ED2BEC"/>
    <w:pPr>
      <w:tabs>
        <w:tab w:val="center" w:pos="4680"/>
        <w:tab w:val="right" w:pos="9360"/>
      </w:tabs>
      <w:spacing w:line="240" w:lineRule="auto"/>
    </w:pPr>
  </w:style>
  <w:style w:type="character" w:customStyle="1" w:styleId="FooterChar">
    <w:name w:val="Footer Char"/>
    <w:basedOn w:val="DefaultParagraphFont"/>
    <w:link w:val="Footer"/>
    <w:uiPriority w:val="99"/>
    <w:rsid w:val="00ED2BEC"/>
  </w:style>
  <w:style w:type="character" w:customStyle="1" w:styleId="Heading7Char">
    <w:name w:val="Heading 7 Char"/>
    <w:basedOn w:val="DefaultParagraphFont"/>
    <w:link w:val="Heading7"/>
    <w:uiPriority w:val="9"/>
    <w:rsid w:val="00ED2BEC"/>
    <w:rPr>
      <w:rFonts w:ascii="Poppins" w:eastAsia="Poppins" w:hAnsi="Poppins" w:cs="Poppins"/>
      <w:color w:val="215868" w:themeColor="accent5" w:themeShade="80"/>
      <w:sz w:val="28"/>
      <w:szCs w:val="28"/>
    </w:rPr>
  </w:style>
  <w:style w:type="character" w:customStyle="1" w:styleId="Heading8Char">
    <w:name w:val="Heading 8 Char"/>
    <w:basedOn w:val="DefaultParagraphFont"/>
    <w:link w:val="Heading8"/>
    <w:uiPriority w:val="9"/>
    <w:rsid w:val="00C34CD1"/>
    <w:rPr>
      <w:rFonts w:ascii="Poppins" w:eastAsia="Poppins" w:hAnsi="Poppins" w:cs="Poppin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2021-01-22T05:00:00+00:00</Publication_x0020_Date>
    <Audience1 xmlns="3a62de7d-ba57-4f43-9dae-9623ba637be0"/>
    <_dlc_DocId xmlns="3a62de7d-ba57-4f43-9dae-9623ba637be0">KYED-536-1210</_dlc_DocId>
    <_dlc_DocIdUrl xmlns="3a62de7d-ba57-4f43-9dae-9623ba637be0">
      <Url>https://www.education.ky.gov/curriculum/standards/kyacadstand/_layouts/15/DocIdRedir.aspx?ID=KYED-536-1210</Url>
      <Description>KYED-536-1210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DFBC704-9E4A-406D-B0FE-7FEC6E315095}">
  <ds:schemaRefs>
    <ds:schemaRef ds:uri="http://schemas.microsoft.com/sharepoint/v3/contenttype/forms"/>
  </ds:schemaRefs>
</ds:datastoreItem>
</file>

<file path=customXml/itemProps2.xml><?xml version="1.0" encoding="utf-8"?>
<ds:datastoreItem xmlns:ds="http://schemas.openxmlformats.org/officeDocument/2006/customXml" ds:itemID="{594EF074-1742-46DA-8AF5-FC3631161FB1}">
  <ds:schemaRef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12423c08-2846-40b6-adb1-6ff477af9c4c"/>
    <ds:schemaRef ds:uri="621773ed-55dc-4476-af5e-5bf4e5742684"/>
    <ds:schemaRef ds:uri="http://purl.org/dc/dcmitype/"/>
  </ds:schemaRefs>
</ds:datastoreItem>
</file>

<file path=customXml/itemProps3.xml><?xml version="1.0" encoding="utf-8"?>
<ds:datastoreItem xmlns:ds="http://schemas.openxmlformats.org/officeDocument/2006/customXml" ds:itemID="{DA39C6A5-C7D0-4326-AD64-EADAB2F1BA1A}"/>
</file>

<file path=customXml/itemProps4.xml><?xml version="1.0" encoding="utf-8"?>
<ds:datastoreItem xmlns:ds="http://schemas.openxmlformats.org/officeDocument/2006/customXml" ds:itemID="{17DE1B49-CEC8-4FF4-BA41-E3FB61EB68EA}"/>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2</cp:revision>
  <dcterms:created xsi:type="dcterms:W3CDTF">2021-01-22T21:23:00Z</dcterms:created>
  <dcterms:modified xsi:type="dcterms:W3CDTF">2021-01-22T21:23:00Z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d162d1d3-18e8-4015-b6c4-c74bfb4a2dcd</vt:lpwstr>
  </property>
</Properties>
</file>