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5D4A" w14:textId="5B510B42" w:rsidR="00117F0C" w:rsidRPr="00B14CB5" w:rsidRDefault="00BF5D23" w:rsidP="0094462B">
      <w:pPr>
        <w:jc w:val="center"/>
        <w:rPr>
          <w:rFonts w:cstheme="minorHAnsi"/>
          <w:b/>
          <w:bCs/>
          <w:sz w:val="28"/>
          <w:szCs w:val="28"/>
        </w:rPr>
      </w:pPr>
      <w:r w:rsidRPr="00B14CB5">
        <w:rPr>
          <w:rFonts w:cstheme="minorHAnsi"/>
          <w:b/>
          <w:bCs/>
          <w:sz w:val="28"/>
          <w:szCs w:val="28"/>
        </w:rPr>
        <w:t xml:space="preserve">Program of Study </w:t>
      </w:r>
      <w:r w:rsidR="00145ED1">
        <w:rPr>
          <w:rFonts w:cstheme="minorHAnsi"/>
          <w:b/>
          <w:bCs/>
          <w:sz w:val="28"/>
          <w:szCs w:val="28"/>
        </w:rPr>
        <w:t xml:space="preserve">Overview and </w:t>
      </w:r>
      <w:r w:rsidRPr="00B14CB5">
        <w:rPr>
          <w:rFonts w:cstheme="minorHAnsi"/>
          <w:b/>
          <w:bCs/>
          <w:sz w:val="28"/>
          <w:szCs w:val="28"/>
        </w:rPr>
        <w:t>Application</w:t>
      </w:r>
    </w:p>
    <w:p w14:paraId="5173CF73" w14:textId="797D4EEC" w:rsidR="004C0FF9" w:rsidRPr="00E57279" w:rsidRDefault="004C0FF9" w:rsidP="00883FC6">
      <w:pPr>
        <w:spacing w:after="0"/>
        <w:rPr>
          <w:rFonts w:cstheme="minorHAnsi"/>
          <w:b/>
          <w:bCs/>
          <w:i/>
          <w:iCs/>
          <w:sz w:val="23"/>
          <w:szCs w:val="23"/>
          <w:u w:val="single"/>
        </w:rPr>
      </w:pPr>
      <w:r w:rsidRPr="00E57279">
        <w:rPr>
          <w:rFonts w:cstheme="minorHAnsi"/>
          <w:b/>
          <w:bCs/>
          <w:i/>
          <w:iCs/>
          <w:sz w:val="23"/>
          <w:szCs w:val="23"/>
          <w:u w:val="single"/>
        </w:rPr>
        <w:t>Programs of Study</w:t>
      </w:r>
      <w:r w:rsidR="00145ED1" w:rsidRPr="00E57279">
        <w:rPr>
          <w:rFonts w:cstheme="minorHAnsi"/>
          <w:b/>
          <w:bCs/>
          <w:i/>
          <w:iCs/>
          <w:sz w:val="23"/>
          <w:szCs w:val="23"/>
          <w:u w:val="single"/>
        </w:rPr>
        <w:t xml:space="preserve"> Overview</w:t>
      </w:r>
      <w:r w:rsidRPr="00E57279">
        <w:rPr>
          <w:rFonts w:cstheme="minorHAnsi"/>
          <w:b/>
          <w:bCs/>
          <w:i/>
          <w:iCs/>
          <w:sz w:val="23"/>
          <w:szCs w:val="23"/>
          <w:u w:val="single"/>
        </w:rPr>
        <w:t>:</w:t>
      </w:r>
    </w:p>
    <w:p w14:paraId="62EA550D" w14:textId="77777777" w:rsidR="004C0FF9" w:rsidRPr="00E57279" w:rsidRDefault="004C0FF9" w:rsidP="00883FC6">
      <w:pPr>
        <w:spacing w:after="0"/>
        <w:rPr>
          <w:rFonts w:cstheme="minorHAnsi"/>
          <w:sz w:val="23"/>
          <w:szCs w:val="23"/>
        </w:rPr>
      </w:pPr>
      <w:r w:rsidRPr="00E57279">
        <w:rPr>
          <w:rFonts w:cstheme="minorHAnsi"/>
          <w:sz w:val="23"/>
          <w:szCs w:val="23"/>
        </w:rPr>
        <w:t>Career and Technical Education programs of study are designed to prepare students to enter the workforce ready to pursue career opportunities in their chosen path.  Students should have a seamless path to follow but have the flexibility to enter and exit the program at multiple points. Intentional planning and alignment of opportunities are considered in the development of career and technical education programs of study to ensure students develop the knowledge and skills necessary for entry into postsecondary education and training programs and/or the workforce.</w:t>
      </w:r>
    </w:p>
    <w:p w14:paraId="52CDD19A" w14:textId="77777777" w:rsidR="004C0FF9" w:rsidRPr="00E57279" w:rsidRDefault="004C0FF9" w:rsidP="004C0FF9">
      <w:pPr>
        <w:rPr>
          <w:rFonts w:cstheme="minorHAnsi"/>
          <w:sz w:val="23"/>
          <w:szCs w:val="23"/>
        </w:rPr>
      </w:pPr>
      <w:r w:rsidRPr="00E57279">
        <w:rPr>
          <w:rFonts w:cstheme="minorHAnsi"/>
          <w:sz w:val="23"/>
          <w:szCs w:val="23"/>
        </w:rPr>
        <w:t>In planning secondary to postsecondary programs of study applications, local school districts and partnering postsecondary institutions shall work together to ensure programs of study are aligned and implemented to meet the specialized needs of business and industry and meet the goals of the student’s individual learning plan. Secondary and postsecondary personnel should work together to;</w:t>
      </w:r>
    </w:p>
    <w:p w14:paraId="3CEEE0C7" w14:textId="77777777" w:rsidR="004C0FF9" w:rsidRPr="00E57279" w:rsidRDefault="004C0FF9" w:rsidP="004C0FF9">
      <w:pPr>
        <w:pStyle w:val="ListParagraph"/>
        <w:numPr>
          <w:ilvl w:val="0"/>
          <w:numId w:val="23"/>
        </w:numPr>
        <w:rPr>
          <w:rFonts w:cstheme="minorHAnsi"/>
          <w:sz w:val="23"/>
          <w:szCs w:val="23"/>
        </w:rPr>
      </w:pPr>
      <w:r w:rsidRPr="00E57279">
        <w:rPr>
          <w:rFonts w:cstheme="minorHAnsi"/>
          <w:sz w:val="23"/>
          <w:szCs w:val="23"/>
        </w:rPr>
        <w:t>Identify secondary career and technical education programs of study offered at high school (Starting in 25-26 the complete program must be offered in one building unless the district receives a waiver from KDE.)</w:t>
      </w:r>
    </w:p>
    <w:p w14:paraId="33321859" w14:textId="77777777" w:rsidR="004C0FF9" w:rsidRPr="00E57279" w:rsidRDefault="004C0FF9" w:rsidP="004C0FF9">
      <w:pPr>
        <w:pStyle w:val="ListParagraph"/>
        <w:numPr>
          <w:ilvl w:val="0"/>
          <w:numId w:val="23"/>
        </w:numPr>
        <w:rPr>
          <w:rFonts w:cstheme="minorHAnsi"/>
          <w:sz w:val="23"/>
          <w:szCs w:val="23"/>
        </w:rPr>
      </w:pPr>
      <w:r w:rsidRPr="00E57279">
        <w:rPr>
          <w:rFonts w:cstheme="minorHAnsi"/>
          <w:sz w:val="23"/>
          <w:szCs w:val="23"/>
        </w:rPr>
        <w:t>Identify postsecondary programs of study at partnering postsecondary institution.</w:t>
      </w:r>
    </w:p>
    <w:p w14:paraId="23DCD0F2" w14:textId="77777777" w:rsidR="004C0FF9" w:rsidRPr="00E57279" w:rsidRDefault="004C0FF9" w:rsidP="004C0FF9">
      <w:pPr>
        <w:pStyle w:val="ListParagraph"/>
        <w:numPr>
          <w:ilvl w:val="0"/>
          <w:numId w:val="23"/>
        </w:numPr>
        <w:rPr>
          <w:rFonts w:cstheme="minorHAnsi"/>
          <w:sz w:val="23"/>
          <w:szCs w:val="23"/>
        </w:rPr>
      </w:pPr>
      <w:r w:rsidRPr="00E57279">
        <w:rPr>
          <w:rFonts w:cstheme="minorHAnsi"/>
          <w:sz w:val="23"/>
          <w:szCs w:val="23"/>
        </w:rPr>
        <w:t xml:space="preserve">All POS must meet the size, scope and quality definition. </w:t>
      </w:r>
    </w:p>
    <w:p w14:paraId="213F1951" w14:textId="77777777" w:rsidR="004C0FF9" w:rsidRPr="00E57279" w:rsidRDefault="004C0FF9" w:rsidP="004C0FF9">
      <w:pPr>
        <w:pStyle w:val="ListParagraph"/>
        <w:numPr>
          <w:ilvl w:val="0"/>
          <w:numId w:val="23"/>
        </w:numPr>
        <w:rPr>
          <w:rFonts w:cstheme="minorHAnsi"/>
          <w:sz w:val="23"/>
          <w:szCs w:val="23"/>
        </w:rPr>
      </w:pPr>
      <w:r w:rsidRPr="00E57279">
        <w:rPr>
          <w:rFonts w:cstheme="minorHAnsi"/>
          <w:sz w:val="23"/>
          <w:szCs w:val="23"/>
        </w:rPr>
        <w:t>Determine and plan seamless alignment by identifying the secondary general education and technical courses needed for successful entry into the postsecondary program.</w:t>
      </w:r>
    </w:p>
    <w:p w14:paraId="65C7E094" w14:textId="238E450F" w:rsidR="00AE1E90" w:rsidRPr="00E57279" w:rsidRDefault="00AE1E90" w:rsidP="00117F0C">
      <w:pPr>
        <w:rPr>
          <w:rFonts w:cstheme="minorHAnsi"/>
          <w:b/>
          <w:bCs/>
          <w:i/>
          <w:iCs/>
          <w:sz w:val="23"/>
          <w:szCs w:val="23"/>
          <w:u w:val="single"/>
        </w:rPr>
      </w:pPr>
      <w:r w:rsidRPr="00E57279">
        <w:rPr>
          <w:rFonts w:cstheme="minorHAnsi"/>
          <w:b/>
          <w:bCs/>
          <w:i/>
          <w:iCs/>
          <w:sz w:val="23"/>
          <w:szCs w:val="23"/>
          <w:u w:val="single"/>
        </w:rPr>
        <w:t>Establishing Common OCTE Vocabulary</w:t>
      </w:r>
      <w:r w:rsidR="00030D5A" w:rsidRPr="00E57279">
        <w:rPr>
          <w:rFonts w:cstheme="minorHAnsi"/>
          <w:b/>
          <w:bCs/>
          <w:i/>
          <w:iCs/>
          <w:sz w:val="23"/>
          <w:szCs w:val="23"/>
          <w:u w:val="single"/>
        </w:rPr>
        <w:t xml:space="preserve"> Related to Program Areas and Programs of Study</w:t>
      </w:r>
      <w:r w:rsidRPr="00E57279">
        <w:rPr>
          <w:rFonts w:cstheme="minorHAnsi"/>
          <w:b/>
          <w:bCs/>
          <w:i/>
          <w:iCs/>
          <w:sz w:val="23"/>
          <w:szCs w:val="23"/>
          <w:u w:val="single"/>
        </w:rPr>
        <w:t>:</w:t>
      </w:r>
    </w:p>
    <w:p w14:paraId="51B751F5" w14:textId="77777777" w:rsidR="00A57DDC" w:rsidRPr="00E57279" w:rsidRDefault="00A57DDC" w:rsidP="00A57DDC">
      <w:pPr>
        <w:rPr>
          <w:rFonts w:cstheme="minorHAnsi"/>
          <w:sz w:val="23"/>
          <w:szCs w:val="23"/>
        </w:rPr>
      </w:pPr>
      <w:r w:rsidRPr="00E57279">
        <w:rPr>
          <w:rFonts w:cstheme="minorHAnsi"/>
          <w:sz w:val="23"/>
          <w:szCs w:val="23"/>
        </w:rPr>
        <w:t>In an ongoing effort to demonstrate continuous improvement and simplify processes, OCTE has streamlined the Program of Study (POS) documentation process for 2026-27. Please note the following important distinctions:</w:t>
      </w:r>
    </w:p>
    <w:p w14:paraId="4E534D5F" w14:textId="7777777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Program Area</w:t>
      </w:r>
      <w:r w:rsidRPr="003919BE">
        <w:rPr>
          <w:rFonts w:eastAsia="Calibri" w:cstheme="minorHAnsi"/>
          <w:sz w:val="23"/>
          <w:szCs w:val="23"/>
        </w:rPr>
        <w:t xml:space="preserve"> – </w:t>
      </w:r>
      <w:r w:rsidRPr="003919BE">
        <w:rPr>
          <w:rFonts w:eastAsia="Calibri" w:cstheme="minorHAnsi"/>
          <w:color w:val="000000"/>
          <w:sz w:val="23"/>
          <w:szCs w:val="23"/>
          <w:shd w:val="clear" w:color="auto" w:fill="FFFFFF"/>
        </w:rPr>
        <w:t xml:space="preserve">A </w:t>
      </w:r>
      <w:r w:rsidRPr="003919BE">
        <w:rPr>
          <w:rFonts w:eastAsia="Calibri" w:cstheme="minorHAnsi"/>
          <w:b/>
          <w:bCs/>
          <w:color w:val="000000"/>
          <w:sz w:val="23"/>
          <w:szCs w:val="23"/>
          <w:shd w:val="clear" w:color="auto" w:fill="FFFFFF"/>
        </w:rPr>
        <w:t>program area</w:t>
      </w:r>
      <w:r w:rsidRPr="003919BE">
        <w:rPr>
          <w:rFonts w:eastAsia="Calibri" w:cstheme="minorHAnsi"/>
          <w:color w:val="000000"/>
          <w:sz w:val="23"/>
          <w:szCs w:val="23"/>
          <w:shd w:val="clear" w:color="auto" w:fill="FFFFFF"/>
        </w:rPr>
        <w:t xml:space="preserve"> is a broad category that encompasses various related fields of study. It represents a major sector of education and training within the Career and Technical Education (CTE) framework.  KY program areas are similar to national career clusters in that they are a system of grouping related occupations and industries that share common skills and knowledge. </w:t>
      </w:r>
    </w:p>
    <w:p w14:paraId="6CCC198A" w14:textId="29D0CEE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 xml:space="preserve">Career Pathway </w:t>
      </w:r>
      <w:r w:rsidRPr="003919BE">
        <w:rPr>
          <w:rFonts w:eastAsia="Calibri" w:cstheme="minorHAnsi"/>
          <w:sz w:val="23"/>
          <w:szCs w:val="23"/>
        </w:rPr>
        <w:t xml:space="preserve">– Pursuant to KRS </w:t>
      </w:r>
      <w:hyperlink r:id="rId12" w:history="1">
        <w:r w:rsidRPr="003919BE">
          <w:rPr>
            <w:rFonts w:eastAsia="Calibri" w:cstheme="minorHAnsi"/>
            <w:color w:val="0000FF"/>
            <w:sz w:val="23"/>
            <w:szCs w:val="23"/>
            <w:u w:val="single"/>
          </w:rPr>
          <w:t>15</w:t>
        </w:r>
        <w:r w:rsidR="00DE6F39">
          <w:rPr>
            <w:rFonts w:eastAsia="Calibri" w:cstheme="minorHAnsi"/>
            <w:color w:val="0000FF"/>
            <w:sz w:val="23"/>
            <w:szCs w:val="23"/>
            <w:u w:val="single"/>
          </w:rPr>
          <w:t>8</w:t>
        </w:r>
        <w:r w:rsidRPr="003919BE">
          <w:rPr>
            <w:rFonts w:eastAsia="Calibri" w:cstheme="minorHAnsi"/>
            <w:color w:val="0000FF"/>
            <w:sz w:val="23"/>
            <w:szCs w:val="23"/>
            <w:u w:val="single"/>
          </w:rPr>
          <w:t>.</w:t>
        </w:r>
        <w:r w:rsidR="00A06986">
          <w:rPr>
            <w:rFonts w:eastAsia="Calibri" w:cstheme="minorHAnsi"/>
            <w:color w:val="0000FF"/>
            <w:sz w:val="23"/>
            <w:szCs w:val="23"/>
            <w:u w:val="single"/>
          </w:rPr>
          <w:t>810</w:t>
        </w:r>
      </w:hyperlink>
      <w:r w:rsidRPr="003919BE">
        <w:rPr>
          <w:rFonts w:eastAsia="Calibri" w:cstheme="minorHAnsi"/>
          <w:sz w:val="23"/>
          <w:szCs w:val="23"/>
        </w:rPr>
        <w:t xml:space="preserve"> and </w:t>
      </w:r>
      <w:hyperlink r:id="rId13" w:history="1">
        <w:r w:rsidRPr="003919BE">
          <w:rPr>
            <w:rFonts w:eastAsia="Calibri" w:cstheme="minorHAnsi"/>
            <w:color w:val="0000FF"/>
            <w:sz w:val="23"/>
            <w:szCs w:val="23"/>
            <w:u w:val="single"/>
          </w:rPr>
          <w:t>157.072</w:t>
        </w:r>
      </w:hyperlink>
      <w:r w:rsidRPr="003919BE">
        <w:rPr>
          <w:rFonts w:eastAsia="Calibri" w:cstheme="minorHAnsi"/>
          <w:sz w:val="23"/>
          <w:szCs w:val="23"/>
        </w:rPr>
        <w:t xml:space="preserve">, a </w:t>
      </w:r>
      <w:r w:rsidRPr="003919BE">
        <w:rPr>
          <w:rFonts w:eastAsia="Calibri" w:cstheme="minorHAnsi"/>
          <w:b/>
          <w:bCs/>
          <w:sz w:val="23"/>
          <w:szCs w:val="23"/>
        </w:rPr>
        <w:t>career pathway</w:t>
      </w:r>
      <w:r w:rsidRPr="003919BE">
        <w:rPr>
          <w:rFonts w:eastAsia="Calibri" w:cstheme="minorHAnsi"/>
          <w:sz w:val="23"/>
          <w:szCs w:val="23"/>
        </w:rPr>
        <w:t xml:space="preserve"> is a</w:t>
      </w:r>
      <w:r w:rsidRPr="003919BE">
        <w:rPr>
          <w:rFonts w:eastAsia="Calibri" w:cstheme="minorHAnsi"/>
          <w:b/>
          <w:bCs/>
          <w:sz w:val="23"/>
          <w:szCs w:val="23"/>
        </w:rPr>
        <w:t xml:space="preserve"> “</w:t>
      </w:r>
      <w:r w:rsidRPr="003919BE">
        <w:rPr>
          <w:rFonts w:eastAsia="Calibri" w:cstheme="minorHAnsi"/>
          <w:sz w:val="23"/>
          <w:szCs w:val="23"/>
        </w:rPr>
        <w:t xml:space="preserve">coherent, articulated sequence of rigorous academic and career-related courses, commencing in </w:t>
      </w:r>
      <w:r w:rsidRPr="003919BE">
        <w:rPr>
          <w:rFonts w:eastAsia="Calibri" w:cstheme="minorHAnsi"/>
          <w:b/>
          <w:bCs/>
          <w:sz w:val="23"/>
          <w:szCs w:val="23"/>
        </w:rPr>
        <w:t>ninth grade and leading to an associate degree, an industry-recognized certificate or license, or a baccalaureate or higher degree.</w:t>
      </w:r>
      <w:r w:rsidRPr="003919BE">
        <w:rPr>
          <w:rFonts w:eastAsia="Calibri" w:cstheme="minorHAnsi"/>
          <w:sz w:val="23"/>
          <w:szCs w:val="23"/>
        </w:rPr>
        <w:t xml:space="preserve"> A career pathway is developed, implemented, and maintained in partnership among secondary and postsecondary education institutions, businesses, and employers.”</w:t>
      </w:r>
    </w:p>
    <w:p w14:paraId="6CFCAFC7" w14:textId="27616101"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 xml:space="preserve">Career Pathway Program of Study </w:t>
      </w:r>
      <w:r w:rsidRPr="003919BE">
        <w:rPr>
          <w:rFonts w:eastAsia="Calibri" w:cstheme="minorHAnsi"/>
          <w:sz w:val="23"/>
          <w:szCs w:val="23"/>
        </w:rPr>
        <w:t xml:space="preserve">– Pursuant to KRS </w:t>
      </w:r>
      <w:hyperlink r:id="rId14" w:history="1">
        <w:r w:rsidRPr="003919BE">
          <w:rPr>
            <w:rFonts w:eastAsia="Calibri" w:cstheme="minorHAnsi"/>
            <w:color w:val="0000FF"/>
            <w:sz w:val="23"/>
            <w:szCs w:val="23"/>
            <w:u w:val="single"/>
          </w:rPr>
          <w:t>15</w:t>
        </w:r>
        <w:r w:rsidR="00393DA4">
          <w:rPr>
            <w:rFonts w:eastAsia="Calibri" w:cstheme="minorHAnsi"/>
            <w:color w:val="0000FF"/>
            <w:sz w:val="23"/>
            <w:szCs w:val="23"/>
            <w:u w:val="single"/>
          </w:rPr>
          <w:t>8</w:t>
        </w:r>
        <w:r w:rsidRPr="003919BE">
          <w:rPr>
            <w:rFonts w:eastAsia="Calibri" w:cstheme="minorHAnsi"/>
            <w:color w:val="0000FF"/>
            <w:sz w:val="23"/>
            <w:szCs w:val="23"/>
            <w:u w:val="single"/>
          </w:rPr>
          <w:t>.</w:t>
        </w:r>
        <w:r w:rsidR="00393DA4">
          <w:rPr>
            <w:rFonts w:eastAsia="Calibri" w:cstheme="minorHAnsi"/>
            <w:color w:val="0000FF"/>
            <w:sz w:val="23"/>
            <w:szCs w:val="23"/>
            <w:u w:val="single"/>
          </w:rPr>
          <w:t>81</w:t>
        </w:r>
        <w:r w:rsidRPr="003919BE">
          <w:rPr>
            <w:rFonts w:eastAsia="Calibri" w:cstheme="minorHAnsi"/>
            <w:color w:val="0000FF"/>
            <w:sz w:val="23"/>
            <w:szCs w:val="23"/>
            <w:u w:val="single"/>
          </w:rPr>
          <w:t>0</w:t>
        </w:r>
      </w:hyperlink>
      <w:r w:rsidRPr="003919BE">
        <w:rPr>
          <w:rFonts w:eastAsia="Calibri" w:cstheme="minorHAnsi"/>
          <w:sz w:val="23"/>
          <w:szCs w:val="23"/>
        </w:rPr>
        <w:t xml:space="preserve"> and </w:t>
      </w:r>
      <w:hyperlink r:id="rId15" w:history="1">
        <w:r w:rsidRPr="003919BE">
          <w:rPr>
            <w:rFonts w:eastAsia="Calibri" w:cstheme="minorHAnsi"/>
            <w:color w:val="0000FF"/>
            <w:sz w:val="23"/>
            <w:szCs w:val="23"/>
            <w:u w:val="single"/>
          </w:rPr>
          <w:t>157.072</w:t>
        </w:r>
      </w:hyperlink>
      <w:r w:rsidRPr="003919BE">
        <w:rPr>
          <w:rFonts w:eastAsia="Calibri" w:cstheme="minorHAnsi"/>
          <w:sz w:val="23"/>
          <w:szCs w:val="23"/>
        </w:rPr>
        <w:t xml:space="preserve">, a </w:t>
      </w:r>
      <w:r w:rsidRPr="003919BE">
        <w:rPr>
          <w:rFonts w:eastAsia="Calibri" w:cstheme="minorHAnsi"/>
          <w:b/>
          <w:bCs/>
          <w:sz w:val="23"/>
          <w:szCs w:val="23"/>
        </w:rPr>
        <w:t>career pathway program of study</w:t>
      </w:r>
      <w:r w:rsidRPr="003919BE">
        <w:rPr>
          <w:rFonts w:eastAsia="Calibri" w:cstheme="minorHAnsi"/>
          <w:sz w:val="23"/>
          <w:szCs w:val="23"/>
        </w:rPr>
        <w:t xml:space="preserve"> is a “coherent, articulated sequence of rigorous academic and career and technical education courses, including dual credit opportunities, that prepares</w:t>
      </w:r>
      <w:r w:rsidRPr="003919BE">
        <w:rPr>
          <w:rFonts w:eastAsia="Calibri" w:cstheme="minorHAnsi"/>
          <w:b/>
          <w:bCs/>
          <w:sz w:val="23"/>
          <w:szCs w:val="23"/>
        </w:rPr>
        <w:t xml:space="preserve"> secondary students</w:t>
      </w:r>
      <w:r w:rsidRPr="003919BE">
        <w:rPr>
          <w:rFonts w:eastAsia="Calibri" w:cstheme="minorHAnsi"/>
          <w:sz w:val="23"/>
          <w:szCs w:val="23"/>
        </w:rPr>
        <w:t xml:space="preserve"> for postsecondary study leading to postsecondary degrees, industry certifications, or licensure.”</w:t>
      </w:r>
    </w:p>
    <w:p w14:paraId="34F04DD2" w14:textId="7777777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Program of Study (POS)</w:t>
      </w:r>
      <w:r w:rsidRPr="003919BE">
        <w:rPr>
          <w:rFonts w:eastAsia="Calibri" w:cstheme="minorHAnsi"/>
          <w:sz w:val="23"/>
          <w:szCs w:val="23"/>
        </w:rPr>
        <w:t xml:space="preserve"> – Perkins V term used to describe a coordinated, nonduplicative sequence of academic and technical content at the </w:t>
      </w:r>
      <w:r w:rsidRPr="003919BE">
        <w:rPr>
          <w:rFonts w:eastAsia="Calibri" w:cstheme="minorHAnsi"/>
          <w:b/>
          <w:bCs/>
          <w:sz w:val="23"/>
          <w:szCs w:val="23"/>
        </w:rPr>
        <w:t>secondary and postsecondary level</w:t>
      </w:r>
      <w:r w:rsidRPr="003919BE">
        <w:rPr>
          <w:rFonts w:eastAsia="Calibri" w:cstheme="minorHAnsi"/>
          <w:sz w:val="23"/>
          <w:szCs w:val="23"/>
        </w:rPr>
        <w:t xml:space="preserve">. Per the </w:t>
      </w:r>
      <w:r w:rsidRPr="003919BE">
        <w:rPr>
          <w:rFonts w:eastAsia="Calibri" w:cstheme="minorHAnsi"/>
          <w:i/>
          <w:iCs/>
          <w:sz w:val="23"/>
          <w:szCs w:val="23"/>
        </w:rPr>
        <w:t xml:space="preserve">Comprehensive Guide to the Federal Role in Career and Technical Education </w:t>
      </w:r>
      <w:r w:rsidRPr="003919BE">
        <w:rPr>
          <w:rFonts w:eastAsia="Calibri" w:cstheme="minorHAnsi"/>
          <w:sz w:val="23"/>
          <w:szCs w:val="23"/>
        </w:rPr>
        <w:t xml:space="preserve">published by the Bruman </w:t>
      </w:r>
      <w:r w:rsidRPr="003919BE">
        <w:rPr>
          <w:rFonts w:eastAsia="Calibri" w:cstheme="minorHAnsi"/>
          <w:sz w:val="23"/>
          <w:szCs w:val="23"/>
        </w:rPr>
        <w:lastRenderedPageBreak/>
        <w:t>Group, programs of study should “run parallel” to career pathways.</w:t>
      </w:r>
    </w:p>
    <w:p w14:paraId="01E633C1" w14:textId="7777777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Perkins State Approved Model Programs of Study</w:t>
      </w:r>
      <w:r w:rsidRPr="003919BE">
        <w:rPr>
          <w:rFonts w:eastAsia="Calibri" w:cstheme="minorHAnsi"/>
          <w:sz w:val="23"/>
          <w:szCs w:val="23"/>
        </w:rPr>
        <w:t xml:space="preserve"> – Initially used as exemplars to show preferred course sequences with seamless transitions from high school to postsecondary education and to assist with the overall transition to Perkins V. Pursuant to Perkins V, Section 124 (b)(1), the original Perkins State Approved Model Programs of Study are listed for reference in the 2026-27 OCTE Programs of Study Directory appendix.</w:t>
      </w:r>
    </w:p>
    <w:p w14:paraId="775C2B02" w14:textId="7777777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2026-2027 Kentucky Programs of Study Directory</w:t>
      </w:r>
      <w:r w:rsidRPr="003919BE">
        <w:rPr>
          <w:rFonts w:eastAsia="Calibri" w:cstheme="minorHAnsi"/>
          <w:sz w:val="23"/>
          <w:szCs w:val="23"/>
        </w:rPr>
        <w:t xml:space="preserve"> – Single comprehensive guide containing all current OCTE/KWIB-approved Programs of Study. Beginning in 2026-27, all districts will select state-approved options published in this guide as the basis for completing the Program of Study application to demonstrate that all Perkins-funded programs of study meet the state’s definition of Size, Scope, and Quality. </w:t>
      </w:r>
    </w:p>
    <w:p w14:paraId="25EAD8E7" w14:textId="77777777" w:rsidR="003919BE" w:rsidRPr="003919BE" w:rsidRDefault="003919BE" w:rsidP="003919BE">
      <w:pPr>
        <w:widowControl w:val="0"/>
        <w:numPr>
          <w:ilvl w:val="0"/>
          <w:numId w:val="24"/>
        </w:numPr>
        <w:autoSpaceDE w:val="0"/>
        <w:autoSpaceDN w:val="0"/>
        <w:spacing w:after="0" w:line="276" w:lineRule="auto"/>
        <w:contextualSpacing/>
        <w:rPr>
          <w:rFonts w:eastAsia="Calibri" w:cstheme="minorHAnsi"/>
          <w:sz w:val="23"/>
          <w:szCs w:val="23"/>
        </w:rPr>
      </w:pPr>
      <w:r w:rsidRPr="003919BE">
        <w:rPr>
          <w:rFonts w:eastAsia="Calibri" w:cstheme="minorHAnsi"/>
          <w:b/>
          <w:bCs/>
          <w:sz w:val="23"/>
          <w:szCs w:val="23"/>
        </w:rPr>
        <w:t xml:space="preserve">Program of Study Application </w:t>
      </w:r>
      <w:r w:rsidRPr="003919BE">
        <w:rPr>
          <w:rFonts w:eastAsia="Calibri" w:cstheme="minorHAnsi"/>
          <w:sz w:val="23"/>
          <w:szCs w:val="23"/>
        </w:rPr>
        <w:t>– An application used to document the district meets the Perkins Size, Scope and Quality requirements for district CTE programs of study. The application documents district POS:</w:t>
      </w:r>
    </w:p>
    <w:p w14:paraId="3D8FD2FC"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Is of sufficient size, offering a sequence of 4 or more earned technical credits</w:t>
      </w:r>
    </w:p>
    <w:p w14:paraId="519DE8CF"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Has a postsecondary connection through dual enrollment, dual credit, current agreement for a program of study or current local articulation agreement approved by the lead administrators of KDE and postsecondary institutions or leads to KDE-approved industry-recognized certifications</w:t>
      </w:r>
    </w:p>
    <w:p w14:paraId="31F9302E"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Has an active advisory panel</w:t>
      </w:r>
    </w:p>
    <w:p w14:paraId="3FBA2C87"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Has a certified, appropriately endorsed teacher</w:t>
      </w:r>
    </w:p>
    <w:p w14:paraId="644B0C62"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Has a co-curricular career and technical student organization (CTSO) that provides students the opportunity to engage in leadership development activities</w:t>
      </w:r>
    </w:p>
    <w:p w14:paraId="2E270789" w14:textId="77777777" w:rsidR="003919BE" w:rsidRPr="003919BE" w:rsidRDefault="003919BE" w:rsidP="003919BE">
      <w:pPr>
        <w:widowControl w:val="0"/>
        <w:numPr>
          <w:ilvl w:val="1"/>
          <w:numId w:val="24"/>
        </w:numPr>
        <w:autoSpaceDE w:val="0"/>
        <w:autoSpaceDN w:val="0"/>
        <w:spacing w:after="0" w:line="276" w:lineRule="auto"/>
        <w:contextualSpacing/>
        <w:rPr>
          <w:rFonts w:eastAsia="Calibri" w:cstheme="minorHAnsi"/>
          <w:sz w:val="23"/>
          <w:szCs w:val="23"/>
        </w:rPr>
      </w:pPr>
      <w:r w:rsidRPr="003919BE">
        <w:rPr>
          <w:rFonts w:eastAsia="Calibri" w:cstheme="minorHAnsi"/>
          <w:sz w:val="23"/>
          <w:szCs w:val="23"/>
        </w:rPr>
        <w:t>Is supported by current labor market data</w:t>
      </w:r>
    </w:p>
    <w:p w14:paraId="2A58D6E2" w14:textId="77777777" w:rsidR="003919BE" w:rsidRPr="003919BE" w:rsidRDefault="003919BE" w:rsidP="003919BE">
      <w:pPr>
        <w:widowControl w:val="0"/>
        <w:autoSpaceDE w:val="0"/>
        <w:autoSpaceDN w:val="0"/>
        <w:spacing w:after="0" w:line="276" w:lineRule="auto"/>
        <w:ind w:left="360" w:firstLine="720"/>
        <w:rPr>
          <w:rFonts w:eastAsia="Calibri" w:cstheme="minorHAnsi"/>
          <w:b/>
          <w:bCs/>
          <w:sz w:val="23"/>
          <w:szCs w:val="23"/>
        </w:rPr>
      </w:pPr>
      <w:r w:rsidRPr="003919BE">
        <w:rPr>
          <w:rFonts w:eastAsia="Calibri" w:cstheme="minorHAnsi"/>
          <w:b/>
          <w:bCs/>
          <w:sz w:val="23"/>
          <w:szCs w:val="23"/>
        </w:rPr>
        <w:t>Program of Study Application Process:</w:t>
      </w:r>
    </w:p>
    <w:p w14:paraId="2D3853DA" w14:textId="77777777" w:rsidR="003919BE" w:rsidRPr="003919BE" w:rsidRDefault="003919BE" w:rsidP="003919BE">
      <w:pPr>
        <w:widowControl w:val="0"/>
        <w:autoSpaceDE w:val="0"/>
        <w:autoSpaceDN w:val="0"/>
        <w:spacing w:after="0" w:line="276" w:lineRule="auto"/>
        <w:ind w:left="1440"/>
        <w:rPr>
          <w:rFonts w:eastAsia="Calibri" w:cstheme="minorHAnsi"/>
          <w:sz w:val="23"/>
          <w:szCs w:val="23"/>
        </w:rPr>
      </w:pPr>
      <w:r w:rsidRPr="003919BE">
        <w:rPr>
          <w:rFonts w:eastAsia="Calibri" w:cstheme="minorHAnsi"/>
          <w:sz w:val="23"/>
          <w:szCs w:val="23"/>
        </w:rPr>
        <w:t>Step 1: Complete all fields of the Programs of Study Application. (Use the checklist to ensure all application components are complete.)</w:t>
      </w:r>
    </w:p>
    <w:p w14:paraId="64F58B10" w14:textId="61CBCED9" w:rsidR="003919BE" w:rsidRPr="003919BE" w:rsidRDefault="003919BE" w:rsidP="003919BE">
      <w:pPr>
        <w:widowControl w:val="0"/>
        <w:autoSpaceDE w:val="0"/>
        <w:autoSpaceDN w:val="0"/>
        <w:spacing w:after="0" w:line="276" w:lineRule="auto"/>
        <w:ind w:left="1440"/>
        <w:rPr>
          <w:rFonts w:eastAsia="Calibri" w:cstheme="minorHAnsi"/>
          <w:sz w:val="23"/>
          <w:szCs w:val="23"/>
        </w:rPr>
      </w:pPr>
      <w:r w:rsidRPr="003919BE">
        <w:rPr>
          <w:rFonts w:eastAsia="Calibri" w:cstheme="minorHAnsi"/>
          <w:sz w:val="23"/>
          <w:szCs w:val="23"/>
        </w:rPr>
        <w:t xml:space="preserve">Step 2: Submit the completed application to </w:t>
      </w:r>
      <w:hyperlink r:id="rId16" w:history="1">
        <w:r w:rsidR="00CE5751" w:rsidRPr="00763C43">
          <w:rPr>
            <w:rStyle w:val="Hyperlink"/>
            <w:rFonts w:eastAsia="Calibri" w:cstheme="minorHAnsi"/>
            <w:sz w:val="23"/>
            <w:szCs w:val="23"/>
          </w:rPr>
          <w:t>KDEOCTEPOSApplicationReview@education.ky.gov</w:t>
        </w:r>
      </w:hyperlink>
      <w:r w:rsidR="00CE5751">
        <w:rPr>
          <w:rFonts w:eastAsia="Calibri" w:cstheme="minorHAnsi"/>
          <w:sz w:val="23"/>
          <w:szCs w:val="23"/>
        </w:rPr>
        <w:t xml:space="preserve"> </w:t>
      </w:r>
      <w:r w:rsidRPr="003919BE">
        <w:rPr>
          <w:rFonts w:eastAsia="Calibri" w:cstheme="minorHAnsi"/>
          <w:sz w:val="23"/>
          <w:szCs w:val="23"/>
        </w:rPr>
        <w:t xml:space="preserve">for approval.             </w:t>
      </w:r>
    </w:p>
    <w:p w14:paraId="3AE4DFD8" w14:textId="77777777" w:rsidR="003919BE" w:rsidRPr="003919BE" w:rsidRDefault="003919BE" w:rsidP="003919BE">
      <w:pPr>
        <w:widowControl w:val="0"/>
        <w:autoSpaceDE w:val="0"/>
        <w:autoSpaceDN w:val="0"/>
        <w:spacing w:after="0" w:line="276" w:lineRule="auto"/>
        <w:ind w:left="1440"/>
        <w:rPr>
          <w:rFonts w:eastAsia="Calibri" w:cstheme="minorHAnsi"/>
          <w:sz w:val="23"/>
          <w:szCs w:val="23"/>
        </w:rPr>
      </w:pPr>
      <w:r w:rsidRPr="003919BE">
        <w:rPr>
          <w:rFonts w:eastAsia="Calibri" w:cstheme="minorHAnsi"/>
          <w:sz w:val="23"/>
          <w:szCs w:val="23"/>
        </w:rPr>
        <w:t>(Note: District name, school name, program area, and POS must be included in the email subject line and POS application document title.)</w:t>
      </w:r>
    </w:p>
    <w:p w14:paraId="796C450C" w14:textId="10866980" w:rsidR="003919BE" w:rsidRPr="003919BE" w:rsidRDefault="003919BE" w:rsidP="008112A4">
      <w:pPr>
        <w:widowControl w:val="0"/>
        <w:tabs>
          <w:tab w:val="left" w:pos="10582"/>
        </w:tabs>
        <w:autoSpaceDE w:val="0"/>
        <w:autoSpaceDN w:val="0"/>
        <w:spacing w:after="0" w:line="276" w:lineRule="auto"/>
        <w:ind w:left="1440"/>
        <w:rPr>
          <w:rFonts w:eastAsia="Calibri" w:cstheme="minorHAnsi"/>
          <w:sz w:val="23"/>
          <w:szCs w:val="23"/>
        </w:rPr>
      </w:pPr>
      <w:r w:rsidRPr="003919BE">
        <w:rPr>
          <w:rFonts w:eastAsia="Calibri" w:cstheme="minorHAnsi"/>
          <w:sz w:val="23"/>
          <w:szCs w:val="23"/>
        </w:rPr>
        <w:t>Step 3: Add to GMAP the name of the POS approver and the date of email approval.</w:t>
      </w:r>
      <w:r w:rsidR="008112A4">
        <w:rPr>
          <w:rFonts w:eastAsia="Calibri" w:cstheme="minorHAnsi"/>
          <w:sz w:val="23"/>
          <w:szCs w:val="23"/>
        </w:rPr>
        <w:tab/>
      </w:r>
    </w:p>
    <w:p w14:paraId="49A1C68F" w14:textId="77777777" w:rsidR="003919BE" w:rsidRPr="003919BE" w:rsidRDefault="003919BE" w:rsidP="003919BE">
      <w:pPr>
        <w:widowControl w:val="0"/>
        <w:autoSpaceDE w:val="0"/>
        <w:autoSpaceDN w:val="0"/>
        <w:spacing w:after="0" w:line="276" w:lineRule="auto"/>
        <w:ind w:left="1440"/>
        <w:rPr>
          <w:rFonts w:eastAsia="Calibri" w:cstheme="minorHAnsi"/>
          <w:sz w:val="23"/>
          <w:szCs w:val="23"/>
        </w:rPr>
      </w:pPr>
      <w:r w:rsidRPr="003919BE">
        <w:rPr>
          <w:rFonts w:eastAsia="Calibri" w:cstheme="minorHAnsi"/>
          <w:sz w:val="23"/>
          <w:szCs w:val="23"/>
        </w:rPr>
        <w:t>Step 4: Upload the approved program of study application to the GMAP documents section.</w:t>
      </w:r>
    </w:p>
    <w:p w14:paraId="4AD44AC2" w14:textId="53C3743A" w:rsidR="00E57279" w:rsidRPr="008112A4" w:rsidRDefault="003919BE" w:rsidP="008112A4">
      <w:pPr>
        <w:pStyle w:val="ListParagraph"/>
        <w:numPr>
          <w:ilvl w:val="0"/>
          <w:numId w:val="26"/>
        </w:numPr>
        <w:spacing w:line="278" w:lineRule="auto"/>
        <w:rPr>
          <w:rFonts w:cstheme="minorHAnsi"/>
          <w:sz w:val="23"/>
          <w:szCs w:val="23"/>
        </w:rPr>
      </w:pPr>
      <w:r w:rsidRPr="008112A4">
        <w:rPr>
          <w:rFonts w:eastAsia="Calibri" w:cstheme="minorHAnsi"/>
          <w:b/>
          <w:bCs/>
          <w:sz w:val="23"/>
          <w:szCs w:val="23"/>
        </w:rPr>
        <w:t>TEDS Pathway Modification</w:t>
      </w:r>
      <w:r w:rsidRPr="008112A4">
        <w:rPr>
          <w:rFonts w:eastAsia="Calibri" w:cstheme="minorHAnsi"/>
          <w:sz w:val="23"/>
          <w:szCs w:val="23"/>
        </w:rPr>
        <w:t xml:space="preserve"> – An application used to document rare, special circumstances in which a district cannot complete a Program of Study Application with options published in the Kentucky Programs of Study Directory. These applications are submitted via TEDS and are approved by OCTE Program Area Consultants, not Perkins Consultants. Once approved in TEDS by OCTE Program Area Consultants, the district must follow up with Steps 1-4 of the Program of Study Application process outlined above.</w:t>
      </w:r>
    </w:p>
    <w:p w14:paraId="4181F35A" w14:textId="77777777" w:rsidR="008112A4" w:rsidRPr="008112A4" w:rsidRDefault="008112A4" w:rsidP="008112A4">
      <w:pPr>
        <w:pStyle w:val="ListParagraph"/>
        <w:spacing w:line="278" w:lineRule="auto"/>
        <w:rPr>
          <w:rFonts w:cstheme="minorHAnsi"/>
          <w:sz w:val="23"/>
          <w:szCs w:val="23"/>
        </w:rPr>
      </w:pPr>
    </w:p>
    <w:p w14:paraId="61EE3F24" w14:textId="77777777" w:rsidR="00E57279" w:rsidRPr="00B14CB5" w:rsidRDefault="00E57279" w:rsidP="009F458F">
      <w:pPr>
        <w:pStyle w:val="ListParagraph"/>
        <w:rPr>
          <w:rFonts w:cstheme="minorHAnsi"/>
          <w:sz w:val="18"/>
          <w:szCs w:val="18"/>
        </w:rPr>
      </w:pPr>
    </w:p>
    <w:p w14:paraId="20B9F8F0" w14:textId="77777777" w:rsidR="00145ED1" w:rsidRDefault="00145ED1" w:rsidP="00145ED1">
      <w:pPr>
        <w:tabs>
          <w:tab w:val="left" w:pos="8868"/>
        </w:tabs>
        <w:spacing w:after="0" w:line="240" w:lineRule="auto"/>
        <w:rPr>
          <w:rFonts w:ascii="Times New Roman" w:hAnsi="Times New Roman" w:cs="Times New Roman"/>
          <w:b/>
          <w:bCs/>
        </w:rPr>
      </w:pPr>
    </w:p>
    <w:p w14:paraId="740AF7C1" w14:textId="77777777" w:rsidR="00D3757E" w:rsidRDefault="00D3757E" w:rsidP="00145ED1">
      <w:pPr>
        <w:tabs>
          <w:tab w:val="left" w:pos="8868"/>
        </w:tabs>
        <w:spacing w:after="0" w:line="240" w:lineRule="auto"/>
        <w:jc w:val="center"/>
        <w:rPr>
          <w:rFonts w:ascii="Times New Roman" w:hAnsi="Times New Roman" w:cs="Times New Roman"/>
          <w:b/>
          <w:bCs/>
        </w:rPr>
      </w:pPr>
    </w:p>
    <w:p w14:paraId="785C9937" w14:textId="34672533" w:rsidR="00CC6A11" w:rsidRDefault="00CC6A11" w:rsidP="00145ED1">
      <w:pPr>
        <w:tabs>
          <w:tab w:val="left" w:pos="8868"/>
        </w:tabs>
        <w:spacing w:after="0" w:line="240" w:lineRule="auto"/>
        <w:jc w:val="center"/>
        <w:rPr>
          <w:rFonts w:ascii="Times New Roman" w:hAnsi="Times New Roman" w:cs="Times New Roman"/>
          <w:b/>
          <w:bCs/>
        </w:rPr>
      </w:pPr>
      <w:r w:rsidRPr="20D5092F">
        <w:rPr>
          <w:rFonts w:ascii="Times New Roman" w:hAnsi="Times New Roman" w:cs="Times New Roman"/>
          <w:b/>
          <w:bCs/>
        </w:rPr>
        <w:lastRenderedPageBreak/>
        <w:t>P</w:t>
      </w:r>
      <w:r w:rsidR="00216BCF" w:rsidRPr="20D5092F">
        <w:rPr>
          <w:rFonts w:ascii="Times New Roman" w:hAnsi="Times New Roman" w:cs="Times New Roman"/>
          <w:b/>
          <w:bCs/>
        </w:rPr>
        <w:t>rogram of Study</w:t>
      </w:r>
      <w:r w:rsidR="003A3282">
        <w:rPr>
          <w:rFonts w:ascii="Times New Roman" w:hAnsi="Times New Roman" w:cs="Times New Roman"/>
          <w:b/>
          <w:bCs/>
        </w:rPr>
        <w:t xml:space="preserve"> Application</w:t>
      </w:r>
    </w:p>
    <w:p w14:paraId="136ED1FD" w14:textId="49482EE3" w:rsidR="00125456" w:rsidRDefault="00125456" w:rsidP="00A83532">
      <w:pPr>
        <w:spacing w:after="0" w:line="240" w:lineRule="auto"/>
        <w:rPr>
          <w:rFonts w:ascii="Times New Roman" w:hAnsi="Times New Roman" w:cs="Times New Roman"/>
          <w:b/>
          <w:bCs/>
        </w:rPr>
      </w:pPr>
      <w:r w:rsidRPr="20D5092F">
        <w:rPr>
          <w:rFonts w:ascii="Times New Roman" w:hAnsi="Times New Roman" w:cs="Times New Roman"/>
          <w:b/>
          <w:bCs/>
        </w:rPr>
        <w:t xml:space="preserve">Effective date: </w:t>
      </w:r>
    </w:p>
    <w:p w14:paraId="31133795" w14:textId="77777777" w:rsidR="00D3757E" w:rsidRDefault="00D3757E" w:rsidP="20D5092F">
      <w:pPr>
        <w:spacing w:after="0" w:line="240" w:lineRule="auto"/>
        <w:rPr>
          <w:rFonts w:eastAsiaTheme="minorEastAsia"/>
          <w:b/>
          <w:bCs/>
          <w:sz w:val="20"/>
          <w:szCs w:val="20"/>
        </w:rPr>
      </w:pPr>
    </w:p>
    <w:p w14:paraId="6E80523A" w14:textId="63CFAC55" w:rsidR="003B712F" w:rsidRDefault="003D4287" w:rsidP="20D5092F">
      <w:pPr>
        <w:spacing w:after="0" w:line="240" w:lineRule="auto"/>
        <w:rPr>
          <w:rFonts w:eastAsiaTheme="minorEastAsia"/>
          <w:b/>
          <w:bCs/>
          <w:sz w:val="20"/>
          <w:szCs w:val="20"/>
        </w:rPr>
      </w:pPr>
      <w:r w:rsidRPr="20D5092F">
        <w:rPr>
          <w:rFonts w:eastAsiaTheme="minorEastAsia"/>
          <w:b/>
          <w:bCs/>
          <w:sz w:val="20"/>
          <w:szCs w:val="20"/>
        </w:rPr>
        <w:t>Postsecondary Institution:</w:t>
      </w:r>
      <w:r>
        <w:tab/>
      </w:r>
      <w:r>
        <w:tab/>
      </w:r>
      <w:r>
        <w:tab/>
      </w:r>
      <w:r>
        <w:tab/>
      </w:r>
      <w:r>
        <w:tab/>
      </w:r>
      <w:r>
        <w:tab/>
      </w:r>
      <w:r>
        <w:tab/>
      </w:r>
      <w:r>
        <w:tab/>
      </w:r>
      <w:r>
        <w:tab/>
      </w:r>
      <w:r>
        <w:tab/>
      </w:r>
      <w:r>
        <w:tab/>
      </w:r>
      <w:r>
        <w:tab/>
      </w:r>
      <w:r w:rsidR="00BD53CC" w:rsidRPr="20D5092F">
        <w:rPr>
          <w:rFonts w:eastAsiaTheme="minorEastAsia"/>
          <w:b/>
          <w:bCs/>
          <w:sz w:val="20"/>
          <w:szCs w:val="20"/>
        </w:rPr>
        <w:t>P</w:t>
      </w:r>
      <w:r w:rsidR="00216BCF" w:rsidRPr="20D5092F">
        <w:rPr>
          <w:rFonts w:eastAsiaTheme="minorEastAsia"/>
          <w:b/>
          <w:bCs/>
          <w:sz w:val="20"/>
          <w:szCs w:val="20"/>
        </w:rPr>
        <w:t xml:space="preserve">rogram </w:t>
      </w:r>
      <w:r w:rsidR="009E1B1E">
        <w:rPr>
          <w:rFonts w:eastAsiaTheme="minorEastAsia"/>
          <w:b/>
          <w:bCs/>
          <w:sz w:val="20"/>
          <w:szCs w:val="20"/>
        </w:rPr>
        <w:t>Area</w:t>
      </w:r>
      <w:r w:rsidR="00BD53CC" w:rsidRPr="20D5092F">
        <w:rPr>
          <w:rFonts w:eastAsiaTheme="minorEastAsia"/>
          <w:b/>
          <w:bCs/>
          <w:sz w:val="20"/>
          <w:szCs w:val="20"/>
        </w:rPr>
        <w:t>:</w:t>
      </w:r>
      <w:r w:rsidRPr="20D5092F">
        <w:rPr>
          <w:rFonts w:eastAsiaTheme="minorEastAsia"/>
          <w:b/>
          <w:bCs/>
          <w:sz w:val="20"/>
          <w:szCs w:val="20"/>
        </w:rPr>
        <w:t xml:space="preserve"> </w:t>
      </w:r>
      <w:r w:rsidR="00DC2C13" w:rsidRPr="20D5092F">
        <w:rPr>
          <w:rFonts w:eastAsiaTheme="minorEastAsia"/>
          <w:b/>
          <w:bCs/>
          <w:sz w:val="20"/>
          <w:szCs w:val="20"/>
        </w:rPr>
        <w:t xml:space="preserve">  </w:t>
      </w:r>
    </w:p>
    <w:p w14:paraId="1D7A85E5" w14:textId="5883DD17" w:rsidR="003B712F" w:rsidRDefault="00DC2C13" w:rsidP="20D5092F">
      <w:pPr>
        <w:spacing w:after="0" w:line="240" w:lineRule="auto"/>
        <w:rPr>
          <w:rFonts w:eastAsiaTheme="minorEastAsia"/>
          <w:b/>
          <w:bCs/>
          <w:sz w:val="20"/>
          <w:szCs w:val="20"/>
        </w:rPr>
      </w:pPr>
      <w:r w:rsidRPr="20D5092F">
        <w:rPr>
          <w:rFonts w:eastAsiaTheme="minorEastAsia"/>
          <w:b/>
          <w:bCs/>
          <w:sz w:val="20"/>
          <w:szCs w:val="20"/>
        </w:rPr>
        <w:t xml:space="preserve"> </w:t>
      </w:r>
      <w:r w:rsidR="003D4287">
        <w:tab/>
      </w:r>
    </w:p>
    <w:p w14:paraId="426C0941" w14:textId="76C55DFE" w:rsidR="00BD53CC" w:rsidRPr="004335C7" w:rsidRDefault="00BD53CC" w:rsidP="20D5092F">
      <w:pPr>
        <w:spacing w:after="0" w:line="240" w:lineRule="auto"/>
        <w:rPr>
          <w:rFonts w:eastAsiaTheme="minorEastAsia"/>
          <w:b/>
          <w:bCs/>
          <w:sz w:val="20"/>
          <w:szCs w:val="20"/>
        </w:rPr>
      </w:pPr>
      <w:r w:rsidRPr="20D5092F">
        <w:rPr>
          <w:rFonts w:eastAsiaTheme="minorEastAsia"/>
          <w:b/>
          <w:bCs/>
          <w:sz w:val="20"/>
          <w:szCs w:val="20"/>
        </w:rPr>
        <w:t>Secondary School:</w:t>
      </w:r>
      <w:r>
        <w:tab/>
      </w:r>
      <w:r>
        <w:tab/>
      </w:r>
      <w:r>
        <w:tab/>
      </w:r>
      <w:r>
        <w:tab/>
      </w:r>
      <w:r>
        <w:tab/>
      </w:r>
      <w:r>
        <w:tab/>
      </w:r>
      <w:r>
        <w:tab/>
      </w:r>
      <w:r>
        <w:tab/>
      </w:r>
      <w:r>
        <w:tab/>
      </w:r>
      <w:r>
        <w:tab/>
      </w:r>
      <w:r>
        <w:tab/>
      </w:r>
      <w:r>
        <w:tab/>
      </w:r>
      <w:r>
        <w:tab/>
      </w:r>
      <w:r w:rsidR="00A73F48" w:rsidRPr="20D5092F">
        <w:rPr>
          <w:rFonts w:eastAsiaTheme="minorEastAsia"/>
          <w:b/>
          <w:bCs/>
          <w:sz w:val="20"/>
          <w:szCs w:val="20"/>
        </w:rPr>
        <w:t xml:space="preserve">Program </w:t>
      </w:r>
      <w:r w:rsidR="009E1B1E">
        <w:rPr>
          <w:rFonts w:eastAsiaTheme="minorEastAsia"/>
          <w:b/>
          <w:bCs/>
          <w:sz w:val="20"/>
          <w:szCs w:val="20"/>
        </w:rPr>
        <w:t>of Study</w:t>
      </w:r>
      <w:r w:rsidRPr="20D5092F">
        <w:rPr>
          <w:rFonts w:eastAsiaTheme="minorEastAsia"/>
          <w:b/>
          <w:bCs/>
          <w:sz w:val="20"/>
          <w:szCs w:val="20"/>
        </w:rPr>
        <w:t xml:space="preserve">: </w:t>
      </w:r>
      <w:r w:rsidR="003627B9" w:rsidRPr="20D5092F">
        <w:rPr>
          <w:rFonts w:eastAsiaTheme="minorEastAsia"/>
          <w:b/>
          <w:bCs/>
          <w:sz w:val="20"/>
          <w:szCs w:val="20"/>
        </w:rPr>
        <w:t xml:space="preserve"> </w:t>
      </w:r>
    </w:p>
    <w:p w14:paraId="006F5167" w14:textId="7B6BD693" w:rsidR="00BD53CC" w:rsidRPr="004335C7" w:rsidRDefault="003627B9" w:rsidP="20D5092F">
      <w:pPr>
        <w:spacing w:after="0" w:line="240" w:lineRule="auto"/>
        <w:rPr>
          <w:rFonts w:eastAsiaTheme="minorEastAsia"/>
          <w:b/>
          <w:bCs/>
          <w:sz w:val="20"/>
          <w:szCs w:val="20"/>
          <w:u w:val="single"/>
        </w:rPr>
      </w:pPr>
      <w:r w:rsidRPr="20D5092F">
        <w:rPr>
          <w:rFonts w:eastAsiaTheme="minorEastAsia"/>
          <w:b/>
          <w:bCs/>
          <w:sz w:val="20"/>
          <w:szCs w:val="20"/>
        </w:rPr>
        <w:t xml:space="preserve">   </w:t>
      </w:r>
      <w:r w:rsidR="00BD53CC">
        <w:tab/>
      </w:r>
    </w:p>
    <w:p w14:paraId="49927A2A" w14:textId="4F8139E1" w:rsidR="00F97A2F" w:rsidRPr="00A73F48" w:rsidRDefault="00EB0342" w:rsidP="20D5092F">
      <w:pPr>
        <w:spacing w:after="0"/>
        <w:rPr>
          <w:rFonts w:eastAsiaTheme="minorEastAsia"/>
          <w:b/>
          <w:bCs/>
          <w:sz w:val="20"/>
          <w:szCs w:val="20"/>
        </w:rPr>
      </w:pPr>
      <w:r w:rsidRPr="20D5092F">
        <w:rPr>
          <w:rFonts w:eastAsiaTheme="minorEastAsia"/>
          <w:b/>
          <w:bCs/>
          <w:sz w:val="20"/>
          <w:szCs w:val="20"/>
        </w:rPr>
        <w:t>CTSO Affiliation</w:t>
      </w:r>
      <w:r w:rsidRPr="20D5092F">
        <w:rPr>
          <w:rFonts w:eastAsiaTheme="minorEastAsia"/>
          <w:sz w:val="20"/>
          <w:szCs w:val="20"/>
        </w:rPr>
        <w:t>:</w:t>
      </w:r>
      <w:r>
        <w:tab/>
      </w:r>
      <w:r>
        <w:tab/>
      </w:r>
      <w:r>
        <w:tab/>
      </w:r>
      <w:r>
        <w:tab/>
      </w:r>
      <w:r>
        <w:tab/>
      </w:r>
      <w:r>
        <w:tab/>
      </w:r>
      <w:r>
        <w:tab/>
      </w:r>
      <w:r>
        <w:tab/>
      </w:r>
      <w:r>
        <w:tab/>
      </w:r>
      <w:r>
        <w:tab/>
      </w:r>
      <w:r>
        <w:tab/>
      </w:r>
      <w:r>
        <w:tab/>
      </w:r>
      <w:r>
        <w:tab/>
      </w:r>
      <w:r w:rsidR="448F0D0A" w:rsidRPr="20D5092F">
        <w:rPr>
          <w:rFonts w:eastAsiaTheme="minorEastAsia"/>
          <w:b/>
          <w:bCs/>
          <w:sz w:val="20"/>
          <w:szCs w:val="20"/>
        </w:rPr>
        <w:t xml:space="preserve">                </w:t>
      </w:r>
      <w:r w:rsidR="00A55E40">
        <w:rPr>
          <w:rFonts w:eastAsiaTheme="minorEastAsia"/>
          <w:b/>
          <w:bCs/>
          <w:sz w:val="20"/>
          <w:szCs w:val="20"/>
        </w:rPr>
        <w:t xml:space="preserve">Program </w:t>
      </w:r>
      <w:r w:rsidR="00516160" w:rsidRPr="20D5092F">
        <w:rPr>
          <w:rFonts w:eastAsiaTheme="minorEastAsia"/>
          <w:b/>
          <w:bCs/>
          <w:sz w:val="20"/>
          <w:szCs w:val="20"/>
        </w:rPr>
        <w:t>CIP Code</w:t>
      </w:r>
      <w:r w:rsidR="00C932F6" w:rsidRPr="20D5092F">
        <w:rPr>
          <w:rFonts w:eastAsiaTheme="minorEastAsia"/>
          <w:b/>
          <w:bCs/>
          <w:sz w:val="20"/>
          <w:szCs w:val="20"/>
        </w:rPr>
        <w:t>:</w:t>
      </w:r>
    </w:p>
    <w:tbl>
      <w:tblPr>
        <w:tblStyle w:val="TableGrid"/>
        <w:tblW w:w="14575" w:type="dxa"/>
        <w:tblInd w:w="-113" w:type="dxa"/>
        <w:tblLook w:val="04A0" w:firstRow="1" w:lastRow="0" w:firstColumn="1" w:lastColumn="0" w:noHBand="0" w:noVBand="1"/>
      </w:tblPr>
      <w:tblGrid>
        <w:gridCol w:w="923"/>
        <w:gridCol w:w="4585"/>
        <w:gridCol w:w="5490"/>
        <w:gridCol w:w="3577"/>
      </w:tblGrid>
      <w:tr w:rsidR="00BD53CC" w:rsidRPr="00BD53CC" w14:paraId="02AE829A" w14:textId="77777777" w:rsidTr="20D5092F">
        <w:trPr>
          <w:cantSplit/>
          <w:trHeight w:val="368"/>
          <w:tblHeader/>
        </w:trPr>
        <w:tc>
          <w:tcPr>
            <w:tcW w:w="923" w:type="dxa"/>
            <w:vAlign w:val="center"/>
          </w:tcPr>
          <w:p w14:paraId="13657B5F" w14:textId="77777777" w:rsidR="00BD53CC" w:rsidRPr="0035017C" w:rsidRDefault="00BD53CC" w:rsidP="00F20714">
            <w:pPr>
              <w:jc w:val="center"/>
              <w:rPr>
                <w:rFonts w:ascii="Times New Roman" w:hAnsi="Times New Roman" w:cs="Times New Roman"/>
                <w:b/>
                <w:sz w:val="20"/>
              </w:rPr>
            </w:pPr>
            <w:r w:rsidRPr="0035017C">
              <w:rPr>
                <w:rFonts w:ascii="Times New Roman" w:hAnsi="Times New Roman" w:cs="Times New Roman"/>
                <w:b/>
                <w:sz w:val="20"/>
              </w:rPr>
              <w:t>Grade</w:t>
            </w:r>
          </w:p>
        </w:tc>
        <w:tc>
          <w:tcPr>
            <w:tcW w:w="4585" w:type="dxa"/>
            <w:vAlign w:val="center"/>
          </w:tcPr>
          <w:p w14:paraId="373AAFD9" w14:textId="77777777" w:rsidR="00BD53CC" w:rsidRDefault="00DE200C" w:rsidP="00F20714">
            <w:pPr>
              <w:jc w:val="center"/>
              <w:rPr>
                <w:rFonts w:ascii="Times New Roman" w:hAnsi="Times New Roman" w:cs="Times New Roman"/>
                <w:b/>
                <w:sz w:val="20"/>
              </w:rPr>
            </w:pPr>
            <w:r>
              <w:rPr>
                <w:rFonts w:ascii="Times New Roman" w:hAnsi="Times New Roman" w:cs="Times New Roman"/>
                <w:b/>
                <w:sz w:val="20"/>
              </w:rPr>
              <w:t>General Education</w:t>
            </w:r>
            <w:r w:rsidR="00BD53CC" w:rsidRPr="0035017C">
              <w:rPr>
                <w:rFonts w:ascii="Times New Roman" w:hAnsi="Times New Roman" w:cs="Times New Roman"/>
                <w:b/>
                <w:sz w:val="20"/>
              </w:rPr>
              <w:t xml:space="preserve"> Core</w:t>
            </w:r>
          </w:p>
          <w:p w14:paraId="6178E47B" w14:textId="77777777" w:rsidR="00DE200C" w:rsidRPr="00DE200C" w:rsidRDefault="00DE200C" w:rsidP="00F20714">
            <w:pPr>
              <w:jc w:val="center"/>
              <w:rPr>
                <w:rFonts w:ascii="Times New Roman" w:hAnsi="Times New Roman" w:cs="Times New Roman"/>
                <w:sz w:val="20"/>
              </w:rPr>
            </w:pPr>
            <w:r w:rsidRPr="00DE200C">
              <w:rPr>
                <w:rFonts w:ascii="Times New Roman" w:hAnsi="Times New Roman" w:cs="Times New Roman"/>
                <w:sz w:val="18"/>
              </w:rPr>
              <w:t>(Ensure Minimum High School Graduation Requirements are Met)</w:t>
            </w:r>
          </w:p>
        </w:tc>
        <w:tc>
          <w:tcPr>
            <w:tcW w:w="5490" w:type="dxa"/>
            <w:vAlign w:val="center"/>
          </w:tcPr>
          <w:p w14:paraId="75E23BEA" w14:textId="77777777" w:rsidR="00BD53CC" w:rsidRDefault="00BD53CC" w:rsidP="00F20714">
            <w:pPr>
              <w:jc w:val="center"/>
              <w:rPr>
                <w:rFonts w:ascii="Times New Roman" w:hAnsi="Times New Roman" w:cs="Times New Roman"/>
                <w:b/>
                <w:sz w:val="20"/>
              </w:rPr>
            </w:pPr>
            <w:r w:rsidRPr="0035017C">
              <w:rPr>
                <w:rFonts w:ascii="Times New Roman" w:hAnsi="Times New Roman" w:cs="Times New Roman"/>
                <w:b/>
                <w:sz w:val="20"/>
              </w:rPr>
              <w:t>Technical Core</w:t>
            </w:r>
          </w:p>
          <w:p w14:paraId="03217C2B" w14:textId="3AE7B621" w:rsidR="00DE200C" w:rsidRPr="00DE200C" w:rsidRDefault="69D3EF9A" w:rsidP="20D5092F">
            <w:pPr>
              <w:jc w:val="center"/>
              <w:rPr>
                <w:rFonts w:ascii="Times New Roman" w:hAnsi="Times New Roman" w:cs="Times New Roman"/>
                <w:sz w:val="20"/>
                <w:szCs w:val="20"/>
              </w:rPr>
            </w:pPr>
            <w:r w:rsidRPr="20D5092F">
              <w:rPr>
                <w:rFonts w:ascii="Times New Roman" w:hAnsi="Times New Roman" w:cs="Times New Roman"/>
                <w:sz w:val="18"/>
                <w:szCs w:val="18"/>
              </w:rPr>
              <w:t xml:space="preserve">(Ensure you have a minimum of a </w:t>
            </w:r>
            <w:r w:rsidR="1AE45AB9" w:rsidRPr="20D5092F">
              <w:rPr>
                <w:rFonts w:ascii="Times New Roman" w:hAnsi="Times New Roman" w:cs="Times New Roman"/>
                <w:sz w:val="18"/>
                <w:szCs w:val="18"/>
              </w:rPr>
              <w:t>4-credit</w:t>
            </w:r>
            <w:r w:rsidRPr="20D5092F">
              <w:rPr>
                <w:rFonts w:ascii="Times New Roman" w:hAnsi="Times New Roman" w:cs="Times New Roman"/>
                <w:sz w:val="18"/>
                <w:szCs w:val="18"/>
              </w:rPr>
              <w:t xml:space="preserve"> sequence of High School CTE Courses)</w:t>
            </w:r>
            <w:r w:rsidR="49065E71" w:rsidRPr="20D5092F">
              <w:rPr>
                <w:rFonts w:ascii="Times New Roman" w:hAnsi="Times New Roman" w:cs="Times New Roman"/>
                <w:sz w:val="18"/>
                <w:szCs w:val="18"/>
              </w:rPr>
              <w:t xml:space="preserve"> Please include the state course codes</w:t>
            </w:r>
            <w:r w:rsidR="00516160" w:rsidRPr="20D5092F">
              <w:rPr>
                <w:rFonts w:ascii="Times New Roman" w:hAnsi="Times New Roman" w:cs="Times New Roman"/>
                <w:sz w:val="18"/>
                <w:szCs w:val="18"/>
              </w:rPr>
              <w:t>.</w:t>
            </w:r>
          </w:p>
        </w:tc>
        <w:tc>
          <w:tcPr>
            <w:tcW w:w="3577" w:type="dxa"/>
            <w:vAlign w:val="center"/>
          </w:tcPr>
          <w:p w14:paraId="36A53059" w14:textId="77777777" w:rsidR="00BD53CC" w:rsidRDefault="00CC6A11" w:rsidP="00F20714">
            <w:pPr>
              <w:jc w:val="center"/>
              <w:rPr>
                <w:rFonts w:ascii="Times New Roman" w:hAnsi="Times New Roman" w:cs="Times New Roman"/>
                <w:b/>
                <w:sz w:val="20"/>
              </w:rPr>
            </w:pPr>
            <w:r w:rsidRPr="0035017C">
              <w:rPr>
                <w:rFonts w:ascii="Times New Roman" w:hAnsi="Times New Roman" w:cs="Times New Roman"/>
                <w:b/>
                <w:sz w:val="20"/>
              </w:rPr>
              <w:t>Diploma, Certifications(s), Certificate(s), Degree(s)</w:t>
            </w:r>
          </w:p>
          <w:p w14:paraId="7A3C9F0C" w14:textId="77777777" w:rsidR="00DE200C" w:rsidRPr="00DE200C" w:rsidRDefault="00DE200C" w:rsidP="00216BCF">
            <w:pPr>
              <w:jc w:val="center"/>
              <w:rPr>
                <w:rFonts w:ascii="Times New Roman" w:hAnsi="Times New Roman" w:cs="Times New Roman"/>
                <w:sz w:val="20"/>
              </w:rPr>
            </w:pPr>
            <w:r w:rsidRPr="00DE200C">
              <w:rPr>
                <w:rFonts w:ascii="Times New Roman" w:hAnsi="Times New Roman" w:cs="Times New Roman"/>
                <w:sz w:val="18"/>
              </w:rPr>
              <w:t xml:space="preserve">(Include any Credentials Students </w:t>
            </w:r>
            <w:r>
              <w:rPr>
                <w:rFonts w:ascii="Times New Roman" w:hAnsi="Times New Roman" w:cs="Times New Roman"/>
                <w:sz w:val="18"/>
              </w:rPr>
              <w:t xml:space="preserve">Have the Ability to Earn when </w:t>
            </w:r>
            <w:r w:rsidR="00A067FB">
              <w:rPr>
                <w:rFonts w:ascii="Times New Roman" w:hAnsi="Times New Roman" w:cs="Times New Roman"/>
                <w:sz w:val="18"/>
              </w:rPr>
              <w:t>Pursui</w:t>
            </w:r>
            <w:r>
              <w:rPr>
                <w:rFonts w:ascii="Times New Roman" w:hAnsi="Times New Roman" w:cs="Times New Roman"/>
                <w:sz w:val="18"/>
              </w:rPr>
              <w:t>ng this P</w:t>
            </w:r>
            <w:r w:rsidR="00216BCF">
              <w:rPr>
                <w:rFonts w:ascii="Times New Roman" w:hAnsi="Times New Roman" w:cs="Times New Roman"/>
                <w:sz w:val="18"/>
              </w:rPr>
              <w:t>rogram of Study</w:t>
            </w:r>
            <w:r w:rsidRPr="00DE200C">
              <w:rPr>
                <w:rFonts w:ascii="Times New Roman" w:hAnsi="Times New Roman" w:cs="Times New Roman"/>
                <w:sz w:val="18"/>
              </w:rPr>
              <w:t>)</w:t>
            </w:r>
          </w:p>
        </w:tc>
      </w:tr>
      <w:tr w:rsidR="00BD53CC" w14:paraId="7BCB83CB" w14:textId="77777777" w:rsidTr="20D5092F">
        <w:trPr>
          <w:cantSplit/>
          <w:trHeight w:val="582"/>
        </w:trPr>
        <w:tc>
          <w:tcPr>
            <w:tcW w:w="923" w:type="dxa"/>
          </w:tcPr>
          <w:p w14:paraId="7BD50F81" w14:textId="77777777" w:rsidR="00BD53CC" w:rsidRPr="00DE200C" w:rsidRDefault="00DE200C" w:rsidP="00DE200C">
            <w:pPr>
              <w:jc w:val="center"/>
              <w:rPr>
                <w:rFonts w:ascii="Times New Roman" w:hAnsi="Times New Roman" w:cs="Times New Roman"/>
                <w:sz w:val="28"/>
                <w:szCs w:val="28"/>
              </w:rPr>
            </w:pPr>
            <w:r>
              <w:rPr>
                <w:rFonts w:ascii="Times New Roman" w:hAnsi="Times New Roman" w:cs="Times New Roman"/>
                <w:sz w:val="28"/>
                <w:szCs w:val="28"/>
              </w:rPr>
              <w:t>9</w:t>
            </w:r>
            <w:r w:rsidRPr="00DE200C">
              <w:rPr>
                <w:rFonts w:ascii="Times New Roman" w:hAnsi="Times New Roman" w:cs="Times New Roman"/>
                <w:sz w:val="28"/>
                <w:szCs w:val="28"/>
                <w:vertAlign w:val="superscript"/>
              </w:rPr>
              <w:t>th</w:t>
            </w:r>
          </w:p>
        </w:tc>
        <w:tc>
          <w:tcPr>
            <w:tcW w:w="4585" w:type="dxa"/>
          </w:tcPr>
          <w:p w14:paraId="37C0C599" w14:textId="77777777" w:rsidR="003D4287"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Math</w:t>
            </w:r>
          </w:p>
          <w:p w14:paraId="79694131"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Science</w:t>
            </w:r>
          </w:p>
          <w:p w14:paraId="55F6E0FF"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English</w:t>
            </w:r>
          </w:p>
          <w:p w14:paraId="7B227B90"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Social Studies</w:t>
            </w:r>
          </w:p>
          <w:p w14:paraId="74EB36D9" w14:textId="77777777" w:rsidR="00925583" w:rsidRDefault="00925583"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PE</w:t>
            </w:r>
          </w:p>
          <w:p w14:paraId="7EA426A1" w14:textId="77777777" w:rsidR="00925583" w:rsidRDefault="00925583"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Health</w:t>
            </w:r>
          </w:p>
          <w:p w14:paraId="7A6ADBCE" w14:textId="77777777" w:rsidR="00DE200C" w:rsidRPr="003A4AB1"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Elective</w:t>
            </w:r>
          </w:p>
        </w:tc>
        <w:tc>
          <w:tcPr>
            <w:tcW w:w="5490" w:type="dxa"/>
          </w:tcPr>
          <w:p w14:paraId="707F6EA3" w14:textId="4B8ADBA6" w:rsidR="00CB1012" w:rsidRPr="003A4AB1" w:rsidRDefault="69D3EF9A" w:rsidP="00DE200C">
            <w:pPr>
              <w:pStyle w:val="ListParagraph"/>
              <w:numPr>
                <w:ilvl w:val="0"/>
                <w:numId w:val="21"/>
              </w:numPr>
              <w:rPr>
                <w:rFonts w:ascii="Times New Roman" w:hAnsi="Times New Roman" w:cs="Times New Roman"/>
                <w:sz w:val="18"/>
                <w:szCs w:val="18"/>
              </w:rPr>
            </w:pPr>
            <w:r w:rsidRPr="20D5092F">
              <w:rPr>
                <w:rFonts w:ascii="Times New Roman" w:hAnsi="Times New Roman" w:cs="Times New Roman"/>
                <w:sz w:val="18"/>
                <w:szCs w:val="18"/>
              </w:rPr>
              <w:t>CTE Entry Level Course</w:t>
            </w:r>
            <w:r w:rsidR="0AB0E563" w:rsidRPr="20D5092F">
              <w:rPr>
                <w:rFonts w:ascii="Times New Roman" w:hAnsi="Times New Roman" w:cs="Times New Roman"/>
                <w:sz w:val="18"/>
                <w:szCs w:val="18"/>
              </w:rPr>
              <w:t xml:space="preserve"> and Course Code</w:t>
            </w:r>
            <w:r w:rsidRPr="20D5092F">
              <w:rPr>
                <w:rFonts w:ascii="Times New Roman" w:hAnsi="Times New Roman" w:cs="Times New Roman"/>
                <w:sz w:val="18"/>
                <w:szCs w:val="18"/>
              </w:rPr>
              <w:t xml:space="preserve"> </w:t>
            </w:r>
            <w:r w:rsidR="49065E71" w:rsidRPr="20D5092F">
              <w:rPr>
                <w:rFonts w:ascii="Times New Roman" w:hAnsi="Times New Roman" w:cs="Times New Roman"/>
                <w:sz w:val="18"/>
                <w:szCs w:val="18"/>
              </w:rPr>
              <w:t>and</w:t>
            </w:r>
            <w:r w:rsidR="5AC7A0CB" w:rsidRPr="20D5092F">
              <w:rPr>
                <w:rFonts w:ascii="Times New Roman" w:hAnsi="Times New Roman" w:cs="Times New Roman"/>
                <w:sz w:val="18"/>
                <w:szCs w:val="18"/>
              </w:rPr>
              <w:t>/or</w:t>
            </w:r>
            <w:r w:rsidRPr="20D5092F">
              <w:rPr>
                <w:rFonts w:ascii="Times New Roman" w:hAnsi="Times New Roman" w:cs="Times New Roman"/>
                <w:sz w:val="18"/>
                <w:szCs w:val="18"/>
              </w:rPr>
              <w:t xml:space="preserve"> Dual Credit Corresponding Technical Course</w:t>
            </w:r>
          </w:p>
        </w:tc>
        <w:tc>
          <w:tcPr>
            <w:tcW w:w="3577" w:type="dxa"/>
          </w:tcPr>
          <w:p w14:paraId="63C44658" w14:textId="77777777" w:rsidR="00BD53CC" w:rsidRPr="00DE200C" w:rsidRDefault="00BD53CC" w:rsidP="00DE200C">
            <w:pPr>
              <w:pStyle w:val="ListParagraph"/>
              <w:numPr>
                <w:ilvl w:val="0"/>
                <w:numId w:val="20"/>
              </w:numPr>
              <w:rPr>
                <w:rFonts w:ascii="Times New Roman" w:hAnsi="Times New Roman" w:cs="Times New Roman"/>
                <w:sz w:val="18"/>
                <w:szCs w:val="18"/>
              </w:rPr>
            </w:pPr>
          </w:p>
        </w:tc>
      </w:tr>
      <w:tr w:rsidR="00BD53CC" w14:paraId="128A5852" w14:textId="77777777" w:rsidTr="20D5092F">
        <w:trPr>
          <w:cantSplit/>
          <w:trHeight w:val="557"/>
        </w:trPr>
        <w:tc>
          <w:tcPr>
            <w:tcW w:w="923" w:type="dxa"/>
          </w:tcPr>
          <w:p w14:paraId="498BFD2E" w14:textId="77777777" w:rsidR="00BD53CC" w:rsidRPr="00DE200C" w:rsidRDefault="00DE200C" w:rsidP="00DE200C">
            <w:pPr>
              <w:jc w:val="center"/>
              <w:rPr>
                <w:rFonts w:ascii="Times New Roman" w:hAnsi="Times New Roman" w:cs="Times New Roman"/>
                <w:sz w:val="28"/>
                <w:szCs w:val="28"/>
              </w:rPr>
            </w:pPr>
            <w:r>
              <w:rPr>
                <w:rFonts w:ascii="Times New Roman" w:hAnsi="Times New Roman" w:cs="Times New Roman"/>
                <w:sz w:val="28"/>
                <w:szCs w:val="28"/>
              </w:rPr>
              <w:t>10</w:t>
            </w:r>
            <w:r w:rsidRPr="00DE200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85" w:type="dxa"/>
          </w:tcPr>
          <w:p w14:paraId="1A7CA00F"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Math</w:t>
            </w:r>
          </w:p>
          <w:p w14:paraId="3A152AD4"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Science</w:t>
            </w:r>
          </w:p>
          <w:p w14:paraId="5918D683"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English</w:t>
            </w:r>
          </w:p>
          <w:p w14:paraId="28EA5514"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Social Studies</w:t>
            </w:r>
          </w:p>
          <w:p w14:paraId="40CEB2E9" w14:textId="77777777" w:rsidR="00925583" w:rsidRDefault="00925583"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Art/Humanities</w:t>
            </w:r>
          </w:p>
          <w:p w14:paraId="54B27BE5" w14:textId="77777777" w:rsidR="003D4287" w:rsidRPr="003A4AB1"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Elective</w:t>
            </w:r>
          </w:p>
        </w:tc>
        <w:tc>
          <w:tcPr>
            <w:tcW w:w="5490" w:type="dxa"/>
          </w:tcPr>
          <w:p w14:paraId="5E47E591" w14:textId="7C3C311E" w:rsidR="00DC2C13" w:rsidRPr="003A4AB1" w:rsidRDefault="69D3EF9A" w:rsidP="00DE200C">
            <w:pPr>
              <w:pStyle w:val="ListParagraph"/>
              <w:numPr>
                <w:ilvl w:val="0"/>
                <w:numId w:val="21"/>
              </w:numPr>
              <w:rPr>
                <w:rFonts w:ascii="Times New Roman" w:hAnsi="Times New Roman" w:cs="Times New Roman"/>
                <w:sz w:val="18"/>
                <w:szCs w:val="18"/>
              </w:rPr>
            </w:pPr>
            <w:r w:rsidRPr="20D5092F">
              <w:rPr>
                <w:rFonts w:ascii="Times New Roman" w:hAnsi="Times New Roman" w:cs="Times New Roman"/>
                <w:sz w:val="18"/>
                <w:szCs w:val="18"/>
              </w:rPr>
              <w:t>CTE Intermediate Course</w:t>
            </w:r>
            <w:r w:rsidR="22C870A1" w:rsidRPr="20D5092F">
              <w:rPr>
                <w:rFonts w:ascii="Times New Roman" w:hAnsi="Times New Roman" w:cs="Times New Roman"/>
                <w:sz w:val="18"/>
                <w:szCs w:val="18"/>
              </w:rPr>
              <w:t xml:space="preserve"> and Course Code</w:t>
            </w:r>
            <w:r w:rsidRPr="20D5092F">
              <w:rPr>
                <w:rFonts w:ascii="Times New Roman" w:hAnsi="Times New Roman" w:cs="Times New Roman"/>
                <w:sz w:val="18"/>
                <w:szCs w:val="18"/>
              </w:rPr>
              <w:t xml:space="preserve"> </w:t>
            </w:r>
            <w:r w:rsidR="49065E71" w:rsidRPr="20D5092F">
              <w:rPr>
                <w:rFonts w:ascii="Times New Roman" w:hAnsi="Times New Roman" w:cs="Times New Roman"/>
                <w:sz w:val="18"/>
                <w:szCs w:val="18"/>
              </w:rPr>
              <w:t>and</w:t>
            </w:r>
            <w:r w:rsidR="735ECE65" w:rsidRPr="20D5092F">
              <w:rPr>
                <w:rFonts w:ascii="Times New Roman" w:hAnsi="Times New Roman" w:cs="Times New Roman"/>
                <w:sz w:val="18"/>
                <w:szCs w:val="18"/>
              </w:rPr>
              <w:t>/or</w:t>
            </w:r>
            <w:r w:rsidRPr="20D5092F">
              <w:rPr>
                <w:rFonts w:ascii="Times New Roman" w:hAnsi="Times New Roman" w:cs="Times New Roman"/>
                <w:sz w:val="18"/>
                <w:szCs w:val="18"/>
              </w:rPr>
              <w:t xml:space="preserve"> Dual Credit Corresponding Technical Course</w:t>
            </w:r>
          </w:p>
        </w:tc>
        <w:tc>
          <w:tcPr>
            <w:tcW w:w="3577" w:type="dxa"/>
          </w:tcPr>
          <w:p w14:paraId="073EE2AA" w14:textId="77777777" w:rsidR="002A7CD6" w:rsidRPr="00DE200C" w:rsidRDefault="002A7CD6" w:rsidP="00DE200C">
            <w:pPr>
              <w:pStyle w:val="ListParagraph"/>
              <w:numPr>
                <w:ilvl w:val="0"/>
                <w:numId w:val="20"/>
              </w:numPr>
              <w:rPr>
                <w:rFonts w:ascii="Times New Roman" w:hAnsi="Times New Roman" w:cs="Times New Roman"/>
                <w:sz w:val="18"/>
                <w:szCs w:val="18"/>
              </w:rPr>
            </w:pPr>
          </w:p>
        </w:tc>
      </w:tr>
      <w:tr w:rsidR="00BD53CC" w14:paraId="24DD79C6" w14:textId="77777777" w:rsidTr="20D5092F">
        <w:trPr>
          <w:cantSplit/>
          <w:trHeight w:val="582"/>
        </w:trPr>
        <w:tc>
          <w:tcPr>
            <w:tcW w:w="923" w:type="dxa"/>
          </w:tcPr>
          <w:p w14:paraId="606AFCFB" w14:textId="77777777" w:rsidR="00BD53CC" w:rsidRPr="00DE200C" w:rsidRDefault="00DE200C" w:rsidP="00DE200C">
            <w:pPr>
              <w:jc w:val="center"/>
              <w:rPr>
                <w:rFonts w:ascii="Times New Roman" w:hAnsi="Times New Roman" w:cs="Times New Roman"/>
                <w:sz w:val="28"/>
                <w:szCs w:val="28"/>
              </w:rPr>
            </w:pPr>
            <w:r>
              <w:rPr>
                <w:rFonts w:ascii="Times New Roman" w:hAnsi="Times New Roman" w:cs="Times New Roman"/>
                <w:sz w:val="28"/>
                <w:szCs w:val="28"/>
              </w:rPr>
              <w:t>11</w:t>
            </w:r>
            <w:r w:rsidRPr="00DE200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85" w:type="dxa"/>
          </w:tcPr>
          <w:p w14:paraId="0378160F"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Math</w:t>
            </w:r>
          </w:p>
          <w:p w14:paraId="30F2EE01"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Science</w:t>
            </w:r>
          </w:p>
          <w:p w14:paraId="72A16ACF"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English</w:t>
            </w:r>
          </w:p>
          <w:p w14:paraId="358B8E39"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Social Studies</w:t>
            </w:r>
          </w:p>
          <w:p w14:paraId="45DBE079" w14:textId="77777777" w:rsidR="00522007" w:rsidRPr="003A4AB1"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Elective</w:t>
            </w:r>
          </w:p>
        </w:tc>
        <w:tc>
          <w:tcPr>
            <w:tcW w:w="5490" w:type="dxa"/>
          </w:tcPr>
          <w:p w14:paraId="1F3F4B8A" w14:textId="7E105C9A" w:rsidR="00605BFD" w:rsidRPr="003A4AB1" w:rsidRDefault="69D3EF9A" w:rsidP="00DE200C">
            <w:pPr>
              <w:pStyle w:val="ListParagraph"/>
              <w:numPr>
                <w:ilvl w:val="0"/>
                <w:numId w:val="21"/>
              </w:numPr>
              <w:rPr>
                <w:rFonts w:ascii="Times New Roman" w:hAnsi="Times New Roman" w:cs="Times New Roman"/>
                <w:sz w:val="18"/>
                <w:szCs w:val="18"/>
              </w:rPr>
            </w:pPr>
            <w:r w:rsidRPr="20D5092F">
              <w:rPr>
                <w:rFonts w:ascii="Times New Roman" w:hAnsi="Times New Roman" w:cs="Times New Roman"/>
                <w:sz w:val="18"/>
                <w:szCs w:val="18"/>
              </w:rPr>
              <w:t>CTE Intermediate Course</w:t>
            </w:r>
            <w:r w:rsidR="190DDDC8" w:rsidRPr="20D5092F">
              <w:rPr>
                <w:rFonts w:ascii="Times New Roman" w:hAnsi="Times New Roman" w:cs="Times New Roman"/>
                <w:sz w:val="18"/>
                <w:szCs w:val="18"/>
              </w:rPr>
              <w:t xml:space="preserve"> and Couse Code</w:t>
            </w:r>
            <w:r w:rsidRPr="20D5092F">
              <w:rPr>
                <w:rFonts w:ascii="Times New Roman" w:hAnsi="Times New Roman" w:cs="Times New Roman"/>
                <w:sz w:val="18"/>
                <w:szCs w:val="18"/>
              </w:rPr>
              <w:t xml:space="preserve"> </w:t>
            </w:r>
            <w:r w:rsidR="49065E71" w:rsidRPr="20D5092F">
              <w:rPr>
                <w:rFonts w:ascii="Times New Roman" w:hAnsi="Times New Roman" w:cs="Times New Roman"/>
                <w:sz w:val="18"/>
                <w:szCs w:val="18"/>
              </w:rPr>
              <w:t>and</w:t>
            </w:r>
            <w:r w:rsidR="5090270A" w:rsidRPr="20D5092F">
              <w:rPr>
                <w:rFonts w:ascii="Times New Roman" w:hAnsi="Times New Roman" w:cs="Times New Roman"/>
                <w:sz w:val="18"/>
                <w:szCs w:val="18"/>
              </w:rPr>
              <w:t>/or</w:t>
            </w:r>
            <w:r w:rsidRPr="20D5092F">
              <w:rPr>
                <w:rFonts w:ascii="Times New Roman" w:hAnsi="Times New Roman" w:cs="Times New Roman"/>
                <w:sz w:val="18"/>
                <w:szCs w:val="18"/>
              </w:rPr>
              <w:t xml:space="preserve"> Dual Credit Corresponding Technical Course</w:t>
            </w:r>
          </w:p>
        </w:tc>
        <w:tc>
          <w:tcPr>
            <w:tcW w:w="3577" w:type="dxa"/>
          </w:tcPr>
          <w:p w14:paraId="5A41AED8" w14:textId="77777777" w:rsidR="00225B0B" w:rsidRPr="00DE200C" w:rsidRDefault="00225B0B" w:rsidP="00DE200C">
            <w:pPr>
              <w:pStyle w:val="ListParagraph"/>
              <w:numPr>
                <w:ilvl w:val="0"/>
                <w:numId w:val="20"/>
              </w:numPr>
              <w:rPr>
                <w:rFonts w:ascii="Times New Roman" w:hAnsi="Times New Roman" w:cs="Times New Roman"/>
                <w:sz w:val="18"/>
                <w:szCs w:val="18"/>
              </w:rPr>
            </w:pPr>
          </w:p>
        </w:tc>
      </w:tr>
      <w:tr w:rsidR="00BD53CC" w14:paraId="6364F474" w14:textId="77777777" w:rsidTr="20D5092F">
        <w:trPr>
          <w:cantSplit/>
          <w:trHeight w:val="582"/>
        </w:trPr>
        <w:tc>
          <w:tcPr>
            <w:tcW w:w="923" w:type="dxa"/>
          </w:tcPr>
          <w:p w14:paraId="5F956A95" w14:textId="77777777" w:rsidR="00BD53CC" w:rsidRPr="00DE200C" w:rsidRDefault="00DE200C" w:rsidP="00DE200C">
            <w:pPr>
              <w:jc w:val="center"/>
              <w:rPr>
                <w:rFonts w:ascii="Times New Roman" w:hAnsi="Times New Roman" w:cs="Times New Roman"/>
                <w:sz w:val="28"/>
                <w:szCs w:val="28"/>
              </w:rPr>
            </w:pPr>
            <w:r>
              <w:rPr>
                <w:rFonts w:ascii="Times New Roman" w:hAnsi="Times New Roman" w:cs="Times New Roman"/>
                <w:sz w:val="28"/>
                <w:szCs w:val="28"/>
              </w:rPr>
              <w:t>12</w:t>
            </w:r>
            <w:r w:rsidRPr="00DE200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85" w:type="dxa"/>
          </w:tcPr>
          <w:p w14:paraId="0226C52D"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Math</w:t>
            </w:r>
          </w:p>
          <w:p w14:paraId="24670A2B" w14:textId="77777777" w:rsidR="00DE200C" w:rsidRDefault="00DE200C" w:rsidP="00DE200C">
            <w:pPr>
              <w:pStyle w:val="ListParagraph"/>
              <w:numPr>
                <w:ilvl w:val="0"/>
                <w:numId w:val="22"/>
              </w:numPr>
              <w:rPr>
                <w:rFonts w:ascii="Times New Roman" w:hAnsi="Times New Roman" w:cs="Times New Roman"/>
                <w:sz w:val="18"/>
                <w:szCs w:val="18"/>
              </w:rPr>
            </w:pPr>
            <w:r>
              <w:rPr>
                <w:rFonts w:ascii="Times New Roman" w:hAnsi="Times New Roman" w:cs="Times New Roman"/>
                <w:sz w:val="18"/>
                <w:szCs w:val="18"/>
              </w:rPr>
              <w:t>English</w:t>
            </w:r>
          </w:p>
          <w:p w14:paraId="1FFDDDA8" w14:textId="77777777" w:rsidR="00142D4A" w:rsidRPr="003A4AB1" w:rsidRDefault="00DE200C" w:rsidP="00DE200C">
            <w:pPr>
              <w:pStyle w:val="ListParagraph"/>
              <w:numPr>
                <w:ilvl w:val="0"/>
                <w:numId w:val="22"/>
              </w:numPr>
              <w:rPr>
                <w:rFonts w:ascii="Times New Roman" w:hAnsi="Times New Roman" w:cs="Times New Roman"/>
                <w:i/>
                <w:sz w:val="18"/>
                <w:szCs w:val="18"/>
              </w:rPr>
            </w:pPr>
            <w:r>
              <w:rPr>
                <w:rFonts w:ascii="Times New Roman" w:hAnsi="Times New Roman" w:cs="Times New Roman"/>
                <w:sz w:val="18"/>
                <w:szCs w:val="18"/>
              </w:rPr>
              <w:t>Elective</w:t>
            </w:r>
          </w:p>
        </w:tc>
        <w:tc>
          <w:tcPr>
            <w:tcW w:w="5490" w:type="dxa"/>
          </w:tcPr>
          <w:p w14:paraId="692D2BD4" w14:textId="0218E8DF" w:rsidR="00605BFD" w:rsidRPr="003A4AB1" w:rsidRDefault="69D3EF9A" w:rsidP="00DE200C">
            <w:pPr>
              <w:pStyle w:val="ListParagraph"/>
              <w:numPr>
                <w:ilvl w:val="0"/>
                <w:numId w:val="21"/>
              </w:numPr>
              <w:rPr>
                <w:rFonts w:ascii="Times New Roman" w:hAnsi="Times New Roman" w:cs="Times New Roman"/>
                <w:sz w:val="18"/>
                <w:szCs w:val="18"/>
              </w:rPr>
            </w:pPr>
            <w:r w:rsidRPr="20D5092F">
              <w:rPr>
                <w:rFonts w:ascii="Times New Roman" w:hAnsi="Times New Roman" w:cs="Times New Roman"/>
                <w:sz w:val="18"/>
                <w:szCs w:val="18"/>
              </w:rPr>
              <w:t>CTE Advanced/Capstone Course</w:t>
            </w:r>
            <w:r w:rsidR="3F40E787" w:rsidRPr="20D5092F">
              <w:rPr>
                <w:rFonts w:ascii="Times New Roman" w:hAnsi="Times New Roman" w:cs="Times New Roman"/>
                <w:sz w:val="18"/>
                <w:szCs w:val="18"/>
              </w:rPr>
              <w:t xml:space="preserve"> and Course Code</w:t>
            </w:r>
            <w:r w:rsidRPr="20D5092F">
              <w:rPr>
                <w:rFonts w:ascii="Times New Roman" w:hAnsi="Times New Roman" w:cs="Times New Roman"/>
                <w:sz w:val="18"/>
                <w:szCs w:val="18"/>
              </w:rPr>
              <w:t xml:space="preserve"> </w:t>
            </w:r>
            <w:r w:rsidR="49065E71" w:rsidRPr="20D5092F">
              <w:rPr>
                <w:rFonts w:ascii="Times New Roman" w:hAnsi="Times New Roman" w:cs="Times New Roman"/>
                <w:sz w:val="18"/>
                <w:szCs w:val="18"/>
              </w:rPr>
              <w:t>and</w:t>
            </w:r>
            <w:r w:rsidR="1274E395" w:rsidRPr="20D5092F">
              <w:rPr>
                <w:rFonts w:ascii="Times New Roman" w:hAnsi="Times New Roman" w:cs="Times New Roman"/>
                <w:sz w:val="18"/>
                <w:szCs w:val="18"/>
              </w:rPr>
              <w:t>/or</w:t>
            </w:r>
            <w:r w:rsidRPr="20D5092F">
              <w:rPr>
                <w:rFonts w:ascii="Times New Roman" w:hAnsi="Times New Roman" w:cs="Times New Roman"/>
                <w:sz w:val="18"/>
                <w:szCs w:val="18"/>
              </w:rPr>
              <w:t xml:space="preserve"> Dual Credit Corresponding Technical Course</w:t>
            </w:r>
          </w:p>
        </w:tc>
        <w:tc>
          <w:tcPr>
            <w:tcW w:w="3577" w:type="dxa"/>
          </w:tcPr>
          <w:p w14:paraId="04F74DE5" w14:textId="77777777" w:rsidR="003D4287" w:rsidRDefault="00DE200C" w:rsidP="00DE200C">
            <w:pPr>
              <w:pStyle w:val="ListParagraph"/>
              <w:numPr>
                <w:ilvl w:val="0"/>
                <w:numId w:val="20"/>
              </w:numPr>
              <w:rPr>
                <w:rFonts w:ascii="Times New Roman" w:hAnsi="Times New Roman" w:cs="Times New Roman"/>
                <w:sz w:val="18"/>
                <w:szCs w:val="18"/>
              </w:rPr>
            </w:pPr>
            <w:r w:rsidRPr="00DE200C">
              <w:rPr>
                <w:rFonts w:ascii="Times New Roman" w:hAnsi="Times New Roman" w:cs="Times New Roman"/>
                <w:sz w:val="18"/>
                <w:szCs w:val="18"/>
              </w:rPr>
              <w:t>High School Diploma</w:t>
            </w:r>
          </w:p>
          <w:p w14:paraId="1E73F08F" w14:textId="77777777" w:rsidR="00DE200C" w:rsidRDefault="00DE200C" w:rsidP="00DE200C">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Industry Certification</w:t>
            </w:r>
          </w:p>
          <w:p w14:paraId="60E0516C" w14:textId="77777777" w:rsidR="00DE200C" w:rsidRDefault="00DE200C" w:rsidP="00DE200C">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End-of-Program Assessment</w:t>
            </w:r>
          </w:p>
          <w:p w14:paraId="18A09446" w14:textId="77777777" w:rsidR="00DE200C" w:rsidRPr="00DE200C" w:rsidRDefault="00DE200C" w:rsidP="00DE200C">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Post-Secondary Certificate</w:t>
            </w:r>
          </w:p>
        </w:tc>
      </w:tr>
      <w:tr w:rsidR="00A067FB" w14:paraId="49A7278B" w14:textId="77777777" w:rsidTr="20D5092F">
        <w:trPr>
          <w:cantSplit/>
          <w:trHeight w:val="582"/>
        </w:trPr>
        <w:tc>
          <w:tcPr>
            <w:tcW w:w="923" w:type="dxa"/>
          </w:tcPr>
          <w:p w14:paraId="3302FABB" w14:textId="77777777" w:rsidR="00A067FB" w:rsidRPr="00DE200C" w:rsidRDefault="00A067FB" w:rsidP="00A067FB">
            <w:pPr>
              <w:jc w:val="center"/>
              <w:rPr>
                <w:rFonts w:ascii="Times New Roman" w:hAnsi="Times New Roman" w:cs="Times New Roman"/>
                <w:sz w:val="28"/>
                <w:szCs w:val="28"/>
              </w:rPr>
            </w:pPr>
            <w:r>
              <w:rPr>
                <w:rFonts w:ascii="Times New Roman" w:hAnsi="Times New Roman" w:cs="Times New Roman"/>
                <w:sz w:val="28"/>
                <w:szCs w:val="28"/>
              </w:rPr>
              <w:t>13</w:t>
            </w:r>
            <w:r w:rsidRPr="00DE200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85" w:type="dxa"/>
          </w:tcPr>
          <w:p w14:paraId="1459A3B0" w14:textId="77777777" w:rsidR="00A067FB" w:rsidRPr="00DE200C" w:rsidRDefault="00A067FB" w:rsidP="00A067FB">
            <w:pPr>
              <w:pStyle w:val="ListParagraph"/>
              <w:numPr>
                <w:ilvl w:val="0"/>
                <w:numId w:val="22"/>
              </w:numPr>
              <w:rPr>
                <w:rFonts w:ascii="Times New Roman" w:hAnsi="Times New Roman" w:cs="Times New Roman"/>
                <w:sz w:val="18"/>
                <w:szCs w:val="18"/>
              </w:rPr>
            </w:pPr>
            <w:r w:rsidRPr="00DE200C">
              <w:rPr>
                <w:rFonts w:ascii="Times New Roman" w:hAnsi="Times New Roman" w:cs="Times New Roman"/>
                <w:sz w:val="18"/>
                <w:szCs w:val="18"/>
              </w:rPr>
              <w:t>General Education Courses Required for Certificate/Diploma/Degree</w:t>
            </w:r>
          </w:p>
        </w:tc>
        <w:tc>
          <w:tcPr>
            <w:tcW w:w="5490" w:type="dxa"/>
          </w:tcPr>
          <w:p w14:paraId="4DE962EA" w14:textId="77777777" w:rsidR="00A067FB" w:rsidRPr="003A4AB1" w:rsidRDefault="00A067FB" w:rsidP="00A067FB">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Technical Courses Required for Certificate/Diploma/Degree</w:t>
            </w:r>
          </w:p>
        </w:tc>
        <w:tc>
          <w:tcPr>
            <w:tcW w:w="3577" w:type="dxa"/>
          </w:tcPr>
          <w:p w14:paraId="0D848BE5" w14:textId="77777777" w:rsidR="00A067FB" w:rsidRDefault="00A067FB" w:rsidP="00A067FB">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Industry Certification</w:t>
            </w:r>
          </w:p>
          <w:p w14:paraId="30F77E59" w14:textId="77777777" w:rsidR="00A067FB" w:rsidRDefault="00A067FB" w:rsidP="00A067FB">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Post-Secondary Certificate 1</w:t>
            </w:r>
          </w:p>
          <w:p w14:paraId="21B6F1FA" w14:textId="77777777" w:rsidR="00A067FB" w:rsidRDefault="00A067FB" w:rsidP="00A067FB">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Post-Secondary Certificate 2</w:t>
            </w:r>
          </w:p>
          <w:p w14:paraId="026DCEE7" w14:textId="77777777" w:rsidR="00A067FB" w:rsidRPr="00DE200C" w:rsidRDefault="00A067FB" w:rsidP="00A067FB">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Post-Secondary Diploma</w:t>
            </w:r>
          </w:p>
        </w:tc>
      </w:tr>
      <w:tr w:rsidR="00A067FB" w14:paraId="3F004D92" w14:textId="77777777" w:rsidTr="20D5092F">
        <w:trPr>
          <w:cantSplit/>
          <w:trHeight w:val="582"/>
        </w:trPr>
        <w:tc>
          <w:tcPr>
            <w:tcW w:w="923" w:type="dxa"/>
          </w:tcPr>
          <w:p w14:paraId="2CA4DF1C" w14:textId="77777777" w:rsidR="00A067FB" w:rsidRPr="00DE200C" w:rsidRDefault="00A067FB" w:rsidP="00A067FB">
            <w:pPr>
              <w:jc w:val="center"/>
              <w:rPr>
                <w:rFonts w:ascii="Times New Roman" w:hAnsi="Times New Roman" w:cs="Times New Roman"/>
                <w:sz w:val="28"/>
                <w:szCs w:val="28"/>
              </w:rPr>
            </w:pPr>
            <w:r>
              <w:rPr>
                <w:rFonts w:ascii="Times New Roman" w:hAnsi="Times New Roman" w:cs="Times New Roman"/>
                <w:sz w:val="28"/>
                <w:szCs w:val="28"/>
              </w:rPr>
              <w:t>14</w:t>
            </w:r>
            <w:r w:rsidRPr="00DE200C">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tc>
        <w:tc>
          <w:tcPr>
            <w:tcW w:w="4585" w:type="dxa"/>
          </w:tcPr>
          <w:p w14:paraId="4C0FF6F5" w14:textId="77777777" w:rsidR="00A067FB" w:rsidRPr="00DE200C" w:rsidRDefault="00A067FB" w:rsidP="00A067FB">
            <w:pPr>
              <w:pStyle w:val="ListParagraph"/>
              <w:numPr>
                <w:ilvl w:val="0"/>
                <w:numId w:val="22"/>
              </w:numPr>
              <w:rPr>
                <w:rFonts w:ascii="Times New Roman" w:hAnsi="Times New Roman" w:cs="Times New Roman"/>
                <w:sz w:val="18"/>
                <w:szCs w:val="18"/>
              </w:rPr>
            </w:pPr>
            <w:r w:rsidRPr="00DE200C">
              <w:rPr>
                <w:rFonts w:ascii="Times New Roman" w:hAnsi="Times New Roman" w:cs="Times New Roman"/>
                <w:sz w:val="18"/>
                <w:szCs w:val="18"/>
              </w:rPr>
              <w:t>General Education Courses Required for Certificate/Diploma/Degree</w:t>
            </w:r>
          </w:p>
        </w:tc>
        <w:tc>
          <w:tcPr>
            <w:tcW w:w="5490" w:type="dxa"/>
          </w:tcPr>
          <w:p w14:paraId="1B820147" w14:textId="77777777" w:rsidR="00A067FB" w:rsidRPr="003A4AB1" w:rsidRDefault="00A067FB" w:rsidP="00A067FB">
            <w:pPr>
              <w:pStyle w:val="ListParagraph"/>
              <w:numPr>
                <w:ilvl w:val="0"/>
                <w:numId w:val="21"/>
              </w:numPr>
              <w:rPr>
                <w:rFonts w:ascii="Times New Roman" w:hAnsi="Times New Roman" w:cs="Times New Roman"/>
                <w:sz w:val="18"/>
                <w:szCs w:val="18"/>
              </w:rPr>
            </w:pPr>
            <w:r>
              <w:rPr>
                <w:rFonts w:ascii="Times New Roman" w:hAnsi="Times New Roman" w:cs="Times New Roman"/>
                <w:sz w:val="18"/>
                <w:szCs w:val="18"/>
              </w:rPr>
              <w:t>Technical Courses Required for Certificate/Diploma/Degree</w:t>
            </w:r>
          </w:p>
        </w:tc>
        <w:tc>
          <w:tcPr>
            <w:tcW w:w="3577" w:type="dxa"/>
          </w:tcPr>
          <w:p w14:paraId="6577C653" w14:textId="77777777" w:rsidR="00A067FB" w:rsidRPr="00DE200C" w:rsidRDefault="00A067FB" w:rsidP="00A067FB">
            <w:pPr>
              <w:pStyle w:val="ListParagraph"/>
              <w:numPr>
                <w:ilvl w:val="0"/>
                <w:numId w:val="20"/>
              </w:numPr>
              <w:rPr>
                <w:rFonts w:ascii="Times New Roman" w:hAnsi="Times New Roman" w:cs="Times New Roman"/>
                <w:sz w:val="18"/>
                <w:szCs w:val="18"/>
              </w:rPr>
            </w:pPr>
            <w:r>
              <w:rPr>
                <w:rFonts w:ascii="Times New Roman" w:hAnsi="Times New Roman" w:cs="Times New Roman"/>
                <w:sz w:val="18"/>
                <w:szCs w:val="18"/>
              </w:rPr>
              <w:t>Associate Degree</w:t>
            </w:r>
          </w:p>
        </w:tc>
      </w:tr>
    </w:tbl>
    <w:p w14:paraId="573951C4" w14:textId="4A62292A" w:rsidR="00D2089A" w:rsidRDefault="00200B34" w:rsidP="20D5092F">
      <w:pPr>
        <w:tabs>
          <w:tab w:val="left" w:pos="10935"/>
        </w:tabs>
        <w:spacing w:after="0" w:line="240" w:lineRule="auto"/>
      </w:pPr>
      <w:r>
        <w:t>(May add grades 15 and 16)</w:t>
      </w:r>
      <w:r w:rsidR="2343A0B6">
        <w:t xml:space="preserve"> </w:t>
      </w:r>
    </w:p>
    <w:p w14:paraId="20A83DC3" w14:textId="37315CC8" w:rsidR="00D2089A" w:rsidRDefault="006B5931" w:rsidP="20D5092F">
      <w:pPr>
        <w:tabs>
          <w:tab w:val="left" w:pos="10935"/>
        </w:tabs>
        <w:spacing w:after="0" w:line="240" w:lineRule="auto"/>
      </w:pPr>
      <w:r>
        <w:t>Secondary</w:t>
      </w:r>
      <w:r w:rsidR="00D2089A">
        <w:t xml:space="preserve"> Partner</w:t>
      </w:r>
      <w:r w:rsidR="00E60398">
        <w:t>:_______________________________________</w:t>
      </w:r>
      <w:r w:rsidR="7AF6A7E8">
        <w:t xml:space="preserve">___             </w:t>
      </w:r>
      <w:r w:rsidR="113E2CF2">
        <w:t>Date:______________________________________</w:t>
      </w:r>
      <w:r w:rsidR="00E57279">
        <w:t xml:space="preserve">                                      </w:t>
      </w:r>
      <w:r w:rsidR="113E2CF2">
        <w:t>Postsecondary</w:t>
      </w:r>
      <w:r w:rsidR="00D2089A">
        <w:t xml:space="preserve"> Partner</w:t>
      </w:r>
      <w:r w:rsidR="00A91CC1">
        <w:t>:</w:t>
      </w:r>
      <w:r w:rsidR="00CE4552">
        <w:t>______________________________________</w:t>
      </w:r>
      <w:r w:rsidR="7D1045AD">
        <w:t>_</w:t>
      </w:r>
      <w:r w:rsidR="7A4BCAB5">
        <w:t xml:space="preserve">            </w:t>
      </w:r>
      <w:r w:rsidR="00E60398">
        <w:t>Date:______________________________________</w:t>
      </w:r>
    </w:p>
    <w:p w14:paraId="0120FDF6" w14:textId="08DADD46" w:rsidR="00D2089A" w:rsidRDefault="00A91CC1" w:rsidP="20D5092F">
      <w:pPr>
        <w:tabs>
          <w:tab w:val="left" w:pos="10935"/>
        </w:tabs>
        <w:rPr>
          <w:sz w:val="16"/>
          <w:szCs w:val="16"/>
        </w:rPr>
      </w:pPr>
      <w:r w:rsidRPr="20D5092F">
        <w:rPr>
          <w:sz w:val="16"/>
          <w:szCs w:val="16"/>
        </w:rPr>
        <w:t>(Must include both signatures)</w:t>
      </w:r>
    </w:p>
    <w:sectPr w:rsidR="00D2089A" w:rsidSect="00441D4B">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E7F7E" w14:textId="77777777" w:rsidR="00863D9C" w:rsidRDefault="00863D9C" w:rsidP="00DE4B9D">
      <w:pPr>
        <w:spacing w:after="0" w:line="240" w:lineRule="auto"/>
      </w:pPr>
      <w:r>
        <w:separator/>
      </w:r>
    </w:p>
  </w:endnote>
  <w:endnote w:type="continuationSeparator" w:id="0">
    <w:p w14:paraId="0E18CDEB" w14:textId="77777777" w:rsidR="00863D9C" w:rsidRDefault="00863D9C" w:rsidP="00DE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3177" w14:textId="0510B8A2" w:rsidR="000937E5" w:rsidRDefault="00411F7B">
    <w:pPr>
      <w:pStyle w:val="Footer"/>
    </w:pPr>
    <w:r>
      <w:tab/>
    </w:r>
    <w:r>
      <w:tab/>
    </w:r>
    <w:r>
      <w:tab/>
    </w:r>
    <w:r>
      <w:tab/>
    </w:r>
    <w:r>
      <w:tab/>
    </w:r>
    <w:r>
      <w:tab/>
    </w:r>
    <w:r>
      <w:tab/>
      <w:t xml:space="preserve">Rev. </w:t>
    </w:r>
    <w:r w:rsidR="009548C1">
      <w:t>9</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6750" w14:textId="77777777" w:rsidR="00863D9C" w:rsidRDefault="00863D9C" w:rsidP="00DE4B9D">
      <w:pPr>
        <w:spacing w:after="0" w:line="240" w:lineRule="auto"/>
      </w:pPr>
      <w:r>
        <w:separator/>
      </w:r>
    </w:p>
  </w:footnote>
  <w:footnote w:type="continuationSeparator" w:id="0">
    <w:p w14:paraId="1A0F49B1" w14:textId="77777777" w:rsidR="00863D9C" w:rsidRDefault="00863D9C" w:rsidP="00DE4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7D"/>
    <w:multiLevelType w:val="hybridMultilevel"/>
    <w:tmpl w:val="7960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33CA5"/>
    <w:multiLevelType w:val="hybridMultilevel"/>
    <w:tmpl w:val="A80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426C"/>
    <w:multiLevelType w:val="hybridMultilevel"/>
    <w:tmpl w:val="EA80D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316324"/>
    <w:multiLevelType w:val="hybridMultilevel"/>
    <w:tmpl w:val="90547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056A"/>
    <w:multiLevelType w:val="hybridMultilevel"/>
    <w:tmpl w:val="E012A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57C7"/>
    <w:multiLevelType w:val="hybridMultilevel"/>
    <w:tmpl w:val="27B00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960CE"/>
    <w:multiLevelType w:val="hybridMultilevel"/>
    <w:tmpl w:val="12688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A52AE"/>
    <w:multiLevelType w:val="hybridMultilevel"/>
    <w:tmpl w:val="544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E3254"/>
    <w:multiLevelType w:val="hybridMultilevel"/>
    <w:tmpl w:val="5F581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57374"/>
    <w:multiLevelType w:val="hybridMultilevel"/>
    <w:tmpl w:val="1274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16E3D"/>
    <w:multiLevelType w:val="hybridMultilevel"/>
    <w:tmpl w:val="F490C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06020"/>
    <w:multiLevelType w:val="hybridMultilevel"/>
    <w:tmpl w:val="032A9B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79717B"/>
    <w:multiLevelType w:val="hybridMultilevel"/>
    <w:tmpl w:val="A45CDC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C9645F"/>
    <w:multiLevelType w:val="hybridMultilevel"/>
    <w:tmpl w:val="CE3C5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E43"/>
    <w:multiLevelType w:val="hybridMultilevel"/>
    <w:tmpl w:val="648EF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07E19"/>
    <w:multiLevelType w:val="hybridMultilevel"/>
    <w:tmpl w:val="B15ED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157B1E"/>
    <w:multiLevelType w:val="hybridMultilevel"/>
    <w:tmpl w:val="36F6C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A5A5F"/>
    <w:multiLevelType w:val="hybridMultilevel"/>
    <w:tmpl w:val="80827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2272E"/>
    <w:multiLevelType w:val="hybridMultilevel"/>
    <w:tmpl w:val="7F72D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E55C3"/>
    <w:multiLevelType w:val="hybridMultilevel"/>
    <w:tmpl w:val="376A5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B6DD1"/>
    <w:multiLevelType w:val="hybridMultilevel"/>
    <w:tmpl w:val="5DC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D3C13"/>
    <w:multiLevelType w:val="hybridMultilevel"/>
    <w:tmpl w:val="B208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2579D"/>
    <w:multiLevelType w:val="hybridMultilevel"/>
    <w:tmpl w:val="EAF450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BE5272"/>
    <w:multiLevelType w:val="hybridMultilevel"/>
    <w:tmpl w:val="3118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B16E7"/>
    <w:multiLevelType w:val="hybridMultilevel"/>
    <w:tmpl w:val="BEF6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01A64"/>
    <w:multiLevelType w:val="hybridMultilevel"/>
    <w:tmpl w:val="93189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368078">
    <w:abstractNumId w:val="3"/>
  </w:num>
  <w:num w:numId="2" w16cid:durableId="1287195719">
    <w:abstractNumId w:val="12"/>
  </w:num>
  <w:num w:numId="3" w16cid:durableId="42406781">
    <w:abstractNumId w:val="5"/>
  </w:num>
  <w:num w:numId="4" w16cid:durableId="769159045">
    <w:abstractNumId w:val="14"/>
  </w:num>
  <w:num w:numId="5" w16cid:durableId="220363200">
    <w:abstractNumId w:val="18"/>
  </w:num>
  <w:num w:numId="6" w16cid:durableId="1357123073">
    <w:abstractNumId w:val="25"/>
  </w:num>
  <w:num w:numId="7" w16cid:durableId="1468552962">
    <w:abstractNumId w:val="6"/>
  </w:num>
  <w:num w:numId="8" w16cid:durableId="1885218696">
    <w:abstractNumId w:val="17"/>
  </w:num>
  <w:num w:numId="9" w16cid:durableId="837500507">
    <w:abstractNumId w:val="10"/>
  </w:num>
  <w:num w:numId="10" w16cid:durableId="1086267097">
    <w:abstractNumId w:val="19"/>
  </w:num>
  <w:num w:numId="11" w16cid:durableId="618755547">
    <w:abstractNumId w:val="16"/>
  </w:num>
  <w:num w:numId="12" w16cid:durableId="771898681">
    <w:abstractNumId w:val="8"/>
  </w:num>
  <w:num w:numId="13" w16cid:durableId="646400442">
    <w:abstractNumId w:val="13"/>
  </w:num>
  <w:num w:numId="14" w16cid:durableId="1276867106">
    <w:abstractNumId w:val="11"/>
  </w:num>
  <w:num w:numId="15" w16cid:durableId="1797333660">
    <w:abstractNumId w:val="22"/>
  </w:num>
  <w:num w:numId="16" w16cid:durableId="1502544113">
    <w:abstractNumId w:val="2"/>
  </w:num>
  <w:num w:numId="17" w16cid:durableId="31536925">
    <w:abstractNumId w:val="15"/>
  </w:num>
  <w:num w:numId="18" w16cid:durableId="278028487">
    <w:abstractNumId w:val="4"/>
  </w:num>
  <w:num w:numId="19" w16cid:durableId="693654600">
    <w:abstractNumId w:val="9"/>
  </w:num>
  <w:num w:numId="20" w16cid:durableId="856039854">
    <w:abstractNumId w:val="20"/>
  </w:num>
  <w:num w:numId="21" w16cid:durableId="2045279285">
    <w:abstractNumId w:val="23"/>
  </w:num>
  <w:num w:numId="22" w16cid:durableId="177471789">
    <w:abstractNumId w:val="1"/>
  </w:num>
  <w:num w:numId="23" w16cid:durableId="606666794">
    <w:abstractNumId w:val="0"/>
  </w:num>
  <w:num w:numId="24" w16cid:durableId="585573090">
    <w:abstractNumId w:val="24"/>
  </w:num>
  <w:num w:numId="25" w16cid:durableId="764156832">
    <w:abstractNumId w:val="21"/>
  </w:num>
  <w:num w:numId="26" w16cid:durableId="1964578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2F"/>
    <w:rsid w:val="00002ABE"/>
    <w:rsid w:val="00027F47"/>
    <w:rsid w:val="00030D5A"/>
    <w:rsid w:val="000340CC"/>
    <w:rsid w:val="00034378"/>
    <w:rsid w:val="0003505F"/>
    <w:rsid w:val="000363A5"/>
    <w:rsid w:val="00041689"/>
    <w:rsid w:val="00041ACC"/>
    <w:rsid w:val="00045AD6"/>
    <w:rsid w:val="00057FF5"/>
    <w:rsid w:val="0007173D"/>
    <w:rsid w:val="00071E8D"/>
    <w:rsid w:val="00071FD0"/>
    <w:rsid w:val="00077C3B"/>
    <w:rsid w:val="00081892"/>
    <w:rsid w:val="00091FDA"/>
    <w:rsid w:val="000937E5"/>
    <w:rsid w:val="000C0354"/>
    <w:rsid w:val="000D6FD3"/>
    <w:rsid w:val="000F3547"/>
    <w:rsid w:val="000F65BE"/>
    <w:rsid w:val="00102B23"/>
    <w:rsid w:val="001048F6"/>
    <w:rsid w:val="00117F0C"/>
    <w:rsid w:val="0012238C"/>
    <w:rsid w:val="00124ACE"/>
    <w:rsid w:val="00125456"/>
    <w:rsid w:val="00142D4A"/>
    <w:rsid w:val="00145ED1"/>
    <w:rsid w:val="0015316E"/>
    <w:rsid w:val="001808CD"/>
    <w:rsid w:val="00187F79"/>
    <w:rsid w:val="001C2B40"/>
    <w:rsid w:val="001C69FF"/>
    <w:rsid w:val="001D1E06"/>
    <w:rsid w:val="001E35C3"/>
    <w:rsid w:val="001F6A73"/>
    <w:rsid w:val="00200839"/>
    <w:rsid w:val="00200B34"/>
    <w:rsid w:val="00211FDD"/>
    <w:rsid w:val="00216BCF"/>
    <w:rsid w:val="00220748"/>
    <w:rsid w:val="002242CC"/>
    <w:rsid w:val="00225B0B"/>
    <w:rsid w:val="0022745E"/>
    <w:rsid w:val="00233AEB"/>
    <w:rsid w:val="00242078"/>
    <w:rsid w:val="002476E6"/>
    <w:rsid w:val="0025402E"/>
    <w:rsid w:val="00282BD1"/>
    <w:rsid w:val="00284166"/>
    <w:rsid w:val="00287610"/>
    <w:rsid w:val="002A7CD6"/>
    <w:rsid w:val="002B0C27"/>
    <w:rsid w:val="002B78C9"/>
    <w:rsid w:val="002D34C2"/>
    <w:rsid w:val="002E15EB"/>
    <w:rsid w:val="002E3385"/>
    <w:rsid w:val="002E5BEC"/>
    <w:rsid w:val="002E6B3D"/>
    <w:rsid w:val="002F3AC1"/>
    <w:rsid w:val="003046B6"/>
    <w:rsid w:val="00304EBC"/>
    <w:rsid w:val="003114C5"/>
    <w:rsid w:val="00324259"/>
    <w:rsid w:val="0032618A"/>
    <w:rsid w:val="00330AE4"/>
    <w:rsid w:val="00333434"/>
    <w:rsid w:val="00346B2F"/>
    <w:rsid w:val="0035017C"/>
    <w:rsid w:val="00354E9C"/>
    <w:rsid w:val="003627B9"/>
    <w:rsid w:val="00377A2F"/>
    <w:rsid w:val="003919BE"/>
    <w:rsid w:val="00391FB3"/>
    <w:rsid w:val="00393DA4"/>
    <w:rsid w:val="003A2A47"/>
    <w:rsid w:val="003A3282"/>
    <w:rsid w:val="003A3E0D"/>
    <w:rsid w:val="003A4AB1"/>
    <w:rsid w:val="003B0A4D"/>
    <w:rsid w:val="003B2562"/>
    <w:rsid w:val="003B712F"/>
    <w:rsid w:val="003C3B33"/>
    <w:rsid w:val="003D09CA"/>
    <w:rsid w:val="003D0F05"/>
    <w:rsid w:val="003D4287"/>
    <w:rsid w:val="003D5B62"/>
    <w:rsid w:val="003F1A92"/>
    <w:rsid w:val="00411F7B"/>
    <w:rsid w:val="00417D5E"/>
    <w:rsid w:val="00425EA7"/>
    <w:rsid w:val="004335C7"/>
    <w:rsid w:val="00435B74"/>
    <w:rsid w:val="00441D4B"/>
    <w:rsid w:val="004565C3"/>
    <w:rsid w:val="0045754D"/>
    <w:rsid w:val="004630E7"/>
    <w:rsid w:val="004A250E"/>
    <w:rsid w:val="004C0FF9"/>
    <w:rsid w:val="004C4CEA"/>
    <w:rsid w:val="004D6B0A"/>
    <w:rsid w:val="004E3C75"/>
    <w:rsid w:val="004F475E"/>
    <w:rsid w:val="00504B38"/>
    <w:rsid w:val="0050626B"/>
    <w:rsid w:val="005063E0"/>
    <w:rsid w:val="005120D6"/>
    <w:rsid w:val="00516160"/>
    <w:rsid w:val="00516184"/>
    <w:rsid w:val="00522007"/>
    <w:rsid w:val="00523F68"/>
    <w:rsid w:val="00565B69"/>
    <w:rsid w:val="00565D7E"/>
    <w:rsid w:val="00567E02"/>
    <w:rsid w:val="00572D7E"/>
    <w:rsid w:val="005827BA"/>
    <w:rsid w:val="0058479F"/>
    <w:rsid w:val="00587A92"/>
    <w:rsid w:val="005A59A7"/>
    <w:rsid w:val="005B2771"/>
    <w:rsid w:val="005C676C"/>
    <w:rsid w:val="005D6853"/>
    <w:rsid w:val="005E122B"/>
    <w:rsid w:val="005E4782"/>
    <w:rsid w:val="005E6CBA"/>
    <w:rsid w:val="005F2021"/>
    <w:rsid w:val="00605BFD"/>
    <w:rsid w:val="0066280B"/>
    <w:rsid w:val="00695E3F"/>
    <w:rsid w:val="006A471B"/>
    <w:rsid w:val="006B5931"/>
    <w:rsid w:val="006C03D6"/>
    <w:rsid w:val="006C1731"/>
    <w:rsid w:val="006E5FBB"/>
    <w:rsid w:val="006F1F02"/>
    <w:rsid w:val="006F4217"/>
    <w:rsid w:val="006F5E44"/>
    <w:rsid w:val="00712B2C"/>
    <w:rsid w:val="0071680F"/>
    <w:rsid w:val="00726D1F"/>
    <w:rsid w:val="00727F35"/>
    <w:rsid w:val="007301BB"/>
    <w:rsid w:val="00730578"/>
    <w:rsid w:val="00731EDE"/>
    <w:rsid w:val="00750AC5"/>
    <w:rsid w:val="00753DAC"/>
    <w:rsid w:val="007621D1"/>
    <w:rsid w:val="00765914"/>
    <w:rsid w:val="007B3656"/>
    <w:rsid w:val="007B56D8"/>
    <w:rsid w:val="007B5B63"/>
    <w:rsid w:val="007B7686"/>
    <w:rsid w:val="007C0468"/>
    <w:rsid w:val="007C19A6"/>
    <w:rsid w:val="007D3D42"/>
    <w:rsid w:val="007D6ACA"/>
    <w:rsid w:val="007E1C00"/>
    <w:rsid w:val="007E3304"/>
    <w:rsid w:val="007F0FCF"/>
    <w:rsid w:val="00805D91"/>
    <w:rsid w:val="008112A4"/>
    <w:rsid w:val="00813C92"/>
    <w:rsid w:val="00823876"/>
    <w:rsid w:val="00836FEE"/>
    <w:rsid w:val="0085118C"/>
    <w:rsid w:val="008550C0"/>
    <w:rsid w:val="00863D9C"/>
    <w:rsid w:val="00883FC6"/>
    <w:rsid w:val="00884F32"/>
    <w:rsid w:val="008A5276"/>
    <w:rsid w:val="008B59AF"/>
    <w:rsid w:val="008B7015"/>
    <w:rsid w:val="008E13E7"/>
    <w:rsid w:val="008F0002"/>
    <w:rsid w:val="008F320F"/>
    <w:rsid w:val="008F462A"/>
    <w:rsid w:val="009078CF"/>
    <w:rsid w:val="00910309"/>
    <w:rsid w:val="00924203"/>
    <w:rsid w:val="00924D80"/>
    <w:rsid w:val="00925583"/>
    <w:rsid w:val="00936883"/>
    <w:rsid w:val="0094462B"/>
    <w:rsid w:val="009548C1"/>
    <w:rsid w:val="0096701F"/>
    <w:rsid w:val="00973420"/>
    <w:rsid w:val="00980065"/>
    <w:rsid w:val="009960F1"/>
    <w:rsid w:val="009A429A"/>
    <w:rsid w:val="009A5B97"/>
    <w:rsid w:val="009A7BF4"/>
    <w:rsid w:val="009B4888"/>
    <w:rsid w:val="009C1321"/>
    <w:rsid w:val="009D0819"/>
    <w:rsid w:val="009D48AA"/>
    <w:rsid w:val="009E07D8"/>
    <w:rsid w:val="009E1794"/>
    <w:rsid w:val="009E1B1E"/>
    <w:rsid w:val="009F458F"/>
    <w:rsid w:val="009F727B"/>
    <w:rsid w:val="00A067FB"/>
    <w:rsid w:val="00A06986"/>
    <w:rsid w:val="00A2167B"/>
    <w:rsid w:val="00A23E24"/>
    <w:rsid w:val="00A3066E"/>
    <w:rsid w:val="00A55E40"/>
    <w:rsid w:val="00A57DDC"/>
    <w:rsid w:val="00A670D3"/>
    <w:rsid w:val="00A70B24"/>
    <w:rsid w:val="00A73F48"/>
    <w:rsid w:val="00A778F9"/>
    <w:rsid w:val="00A83532"/>
    <w:rsid w:val="00A842FE"/>
    <w:rsid w:val="00A91CC1"/>
    <w:rsid w:val="00AA5EA5"/>
    <w:rsid w:val="00AB5DF6"/>
    <w:rsid w:val="00AE1E90"/>
    <w:rsid w:val="00AF0091"/>
    <w:rsid w:val="00B14CB5"/>
    <w:rsid w:val="00B16DCA"/>
    <w:rsid w:val="00B2203A"/>
    <w:rsid w:val="00B30B1B"/>
    <w:rsid w:val="00B37846"/>
    <w:rsid w:val="00B6130C"/>
    <w:rsid w:val="00B6248B"/>
    <w:rsid w:val="00B73D2F"/>
    <w:rsid w:val="00B85344"/>
    <w:rsid w:val="00B97678"/>
    <w:rsid w:val="00BC1F00"/>
    <w:rsid w:val="00BD53CC"/>
    <w:rsid w:val="00BF5D23"/>
    <w:rsid w:val="00C02492"/>
    <w:rsid w:val="00C1359F"/>
    <w:rsid w:val="00C25ED0"/>
    <w:rsid w:val="00C270D7"/>
    <w:rsid w:val="00C43020"/>
    <w:rsid w:val="00C52FCB"/>
    <w:rsid w:val="00C53AC8"/>
    <w:rsid w:val="00C76932"/>
    <w:rsid w:val="00C77099"/>
    <w:rsid w:val="00C77131"/>
    <w:rsid w:val="00C84671"/>
    <w:rsid w:val="00C853D7"/>
    <w:rsid w:val="00C87D69"/>
    <w:rsid w:val="00C932F6"/>
    <w:rsid w:val="00C94CF5"/>
    <w:rsid w:val="00C97BFD"/>
    <w:rsid w:val="00CA29A4"/>
    <w:rsid w:val="00CA7CAC"/>
    <w:rsid w:val="00CB0EE9"/>
    <w:rsid w:val="00CB1012"/>
    <w:rsid w:val="00CB31A4"/>
    <w:rsid w:val="00CC51E6"/>
    <w:rsid w:val="00CC593F"/>
    <w:rsid w:val="00CC6A11"/>
    <w:rsid w:val="00CD5595"/>
    <w:rsid w:val="00CE4552"/>
    <w:rsid w:val="00CE5751"/>
    <w:rsid w:val="00D15578"/>
    <w:rsid w:val="00D20579"/>
    <w:rsid w:val="00D2089A"/>
    <w:rsid w:val="00D2185C"/>
    <w:rsid w:val="00D34C47"/>
    <w:rsid w:val="00D3757E"/>
    <w:rsid w:val="00D449C9"/>
    <w:rsid w:val="00D51955"/>
    <w:rsid w:val="00D5309A"/>
    <w:rsid w:val="00D73657"/>
    <w:rsid w:val="00D754CC"/>
    <w:rsid w:val="00D94071"/>
    <w:rsid w:val="00DA5C15"/>
    <w:rsid w:val="00DB06B5"/>
    <w:rsid w:val="00DB43CF"/>
    <w:rsid w:val="00DB594C"/>
    <w:rsid w:val="00DC2C13"/>
    <w:rsid w:val="00DC6306"/>
    <w:rsid w:val="00DE1994"/>
    <w:rsid w:val="00DE200C"/>
    <w:rsid w:val="00DE4B9D"/>
    <w:rsid w:val="00DE5310"/>
    <w:rsid w:val="00DE62F5"/>
    <w:rsid w:val="00DE67D6"/>
    <w:rsid w:val="00DE6F39"/>
    <w:rsid w:val="00E04ED1"/>
    <w:rsid w:val="00E149B1"/>
    <w:rsid w:val="00E23A40"/>
    <w:rsid w:val="00E43A92"/>
    <w:rsid w:val="00E57279"/>
    <w:rsid w:val="00E60398"/>
    <w:rsid w:val="00E70F1A"/>
    <w:rsid w:val="00E8013F"/>
    <w:rsid w:val="00E80FFC"/>
    <w:rsid w:val="00E85F18"/>
    <w:rsid w:val="00E8660F"/>
    <w:rsid w:val="00EB0342"/>
    <w:rsid w:val="00EC76B0"/>
    <w:rsid w:val="00ED0F98"/>
    <w:rsid w:val="00EE2365"/>
    <w:rsid w:val="00F04E14"/>
    <w:rsid w:val="00F20714"/>
    <w:rsid w:val="00F23F1B"/>
    <w:rsid w:val="00F26B8E"/>
    <w:rsid w:val="00F64DEB"/>
    <w:rsid w:val="00F65EA4"/>
    <w:rsid w:val="00F712C4"/>
    <w:rsid w:val="00F75500"/>
    <w:rsid w:val="00F82737"/>
    <w:rsid w:val="00F82A0E"/>
    <w:rsid w:val="00F9169F"/>
    <w:rsid w:val="00F97A2F"/>
    <w:rsid w:val="00FA0909"/>
    <w:rsid w:val="00FE3B35"/>
    <w:rsid w:val="00FF2F70"/>
    <w:rsid w:val="01014AD0"/>
    <w:rsid w:val="031886EC"/>
    <w:rsid w:val="0AB0E563"/>
    <w:rsid w:val="0DAFD56F"/>
    <w:rsid w:val="0E1F64D1"/>
    <w:rsid w:val="113E2CF2"/>
    <w:rsid w:val="1274E395"/>
    <w:rsid w:val="190DDDC8"/>
    <w:rsid w:val="1AE45AB9"/>
    <w:rsid w:val="1ED37184"/>
    <w:rsid w:val="20D5092F"/>
    <w:rsid w:val="22C870A1"/>
    <w:rsid w:val="2343A0B6"/>
    <w:rsid w:val="24772029"/>
    <w:rsid w:val="251535BF"/>
    <w:rsid w:val="2ECFB78A"/>
    <w:rsid w:val="2F743B3F"/>
    <w:rsid w:val="308FFB24"/>
    <w:rsid w:val="3572D6EE"/>
    <w:rsid w:val="3F40E787"/>
    <w:rsid w:val="444C4F0C"/>
    <w:rsid w:val="448F0D0A"/>
    <w:rsid w:val="47FDFAFA"/>
    <w:rsid w:val="489DA18C"/>
    <w:rsid w:val="49065E71"/>
    <w:rsid w:val="4A34DF53"/>
    <w:rsid w:val="5090270A"/>
    <w:rsid w:val="544AC163"/>
    <w:rsid w:val="5AC7A0CB"/>
    <w:rsid w:val="5D46F56C"/>
    <w:rsid w:val="65B850CE"/>
    <w:rsid w:val="69D3EF9A"/>
    <w:rsid w:val="6ACE0C4D"/>
    <w:rsid w:val="6B64DD73"/>
    <w:rsid w:val="735ECE65"/>
    <w:rsid w:val="738593C8"/>
    <w:rsid w:val="7817105D"/>
    <w:rsid w:val="7A4BCAB5"/>
    <w:rsid w:val="7AF6A7E8"/>
    <w:rsid w:val="7D1045AD"/>
    <w:rsid w:val="7DB7D023"/>
    <w:rsid w:val="7E0FD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D9"/>
  <w15:chartTrackingRefBased/>
  <w15:docId w15:val="{B55351F2-8014-4372-893B-187E7CB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A2F"/>
    <w:pPr>
      <w:ind w:left="720"/>
      <w:contextualSpacing/>
    </w:pPr>
  </w:style>
  <w:style w:type="paragraph" w:styleId="Header">
    <w:name w:val="header"/>
    <w:basedOn w:val="Normal"/>
    <w:link w:val="HeaderChar"/>
    <w:uiPriority w:val="99"/>
    <w:unhideWhenUsed/>
    <w:rsid w:val="00DE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B9D"/>
  </w:style>
  <w:style w:type="paragraph" w:styleId="Footer">
    <w:name w:val="footer"/>
    <w:basedOn w:val="Normal"/>
    <w:link w:val="FooterChar"/>
    <w:uiPriority w:val="99"/>
    <w:unhideWhenUsed/>
    <w:rsid w:val="00DE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B9D"/>
  </w:style>
  <w:style w:type="paragraph" w:styleId="BalloonText">
    <w:name w:val="Balloon Text"/>
    <w:basedOn w:val="Normal"/>
    <w:link w:val="BalloonTextChar"/>
    <w:uiPriority w:val="99"/>
    <w:semiHidden/>
    <w:unhideWhenUsed/>
    <w:rsid w:val="009C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21"/>
    <w:rPr>
      <w:rFonts w:ascii="Segoe UI" w:hAnsi="Segoe UI" w:cs="Segoe UI"/>
      <w:sz w:val="18"/>
      <w:szCs w:val="18"/>
    </w:rPr>
  </w:style>
  <w:style w:type="character" w:styleId="Hyperlink">
    <w:name w:val="Hyperlink"/>
    <w:basedOn w:val="DefaultParagraphFont"/>
    <w:uiPriority w:val="99"/>
    <w:unhideWhenUsed/>
    <w:rsid w:val="005063E0"/>
    <w:rPr>
      <w:color w:val="0563C1" w:themeColor="hyperlink"/>
      <w:u w:val="single"/>
    </w:rPr>
  </w:style>
  <w:style w:type="character" w:styleId="UnresolvedMention">
    <w:name w:val="Unresolved Mention"/>
    <w:basedOn w:val="DefaultParagraphFont"/>
    <w:uiPriority w:val="99"/>
    <w:semiHidden/>
    <w:unhideWhenUsed/>
    <w:rsid w:val="005063E0"/>
    <w:rPr>
      <w:color w:val="605E5C"/>
      <w:shd w:val="clear" w:color="auto" w:fill="E1DFDD"/>
    </w:rPr>
  </w:style>
  <w:style w:type="character" w:styleId="CommentReference">
    <w:name w:val="annotation reference"/>
    <w:basedOn w:val="DefaultParagraphFont"/>
    <w:uiPriority w:val="99"/>
    <w:semiHidden/>
    <w:unhideWhenUsed/>
    <w:rsid w:val="002D34C2"/>
    <w:rPr>
      <w:sz w:val="16"/>
      <w:szCs w:val="16"/>
    </w:rPr>
  </w:style>
  <w:style w:type="paragraph" w:styleId="CommentText">
    <w:name w:val="annotation text"/>
    <w:basedOn w:val="Normal"/>
    <w:link w:val="CommentTextChar"/>
    <w:uiPriority w:val="99"/>
    <w:unhideWhenUsed/>
    <w:rsid w:val="002D34C2"/>
    <w:pPr>
      <w:spacing w:line="240" w:lineRule="auto"/>
    </w:pPr>
    <w:rPr>
      <w:sz w:val="20"/>
      <w:szCs w:val="20"/>
    </w:rPr>
  </w:style>
  <w:style w:type="character" w:customStyle="1" w:styleId="CommentTextChar">
    <w:name w:val="Comment Text Char"/>
    <w:basedOn w:val="DefaultParagraphFont"/>
    <w:link w:val="CommentText"/>
    <w:uiPriority w:val="99"/>
    <w:rsid w:val="002D34C2"/>
    <w:rPr>
      <w:sz w:val="20"/>
      <w:szCs w:val="20"/>
    </w:rPr>
  </w:style>
  <w:style w:type="paragraph" w:styleId="CommentSubject">
    <w:name w:val="annotation subject"/>
    <w:basedOn w:val="CommentText"/>
    <w:next w:val="CommentText"/>
    <w:link w:val="CommentSubjectChar"/>
    <w:uiPriority w:val="99"/>
    <w:semiHidden/>
    <w:unhideWhenUsed/>
    <w:rsid w:val="002D34C2"/>
    <w:rPr>
      <w:b/>
      <w:bCs/>
    </w:rPr>
  </w:style>
  <w:style w:type="character" w:customStyle="1" w:styleId="CommentSubjectChar">
    <w:name w:val="Comment Subject Char"/>
    <w:basedOn w:val="CommentTextChar"/>
    <w:link w:val="CommentSubject"/>
    <w:uiPriority w:val="99"/>
    <w:semiHidden/>
    <w:rsid w:val="002D34C2"/>
    <w:rPr>
      <w:b/>
      <w:bCs/>
      <w:sz w:val="20"/>
      <w:szCs w:val="20"/>
    </w:rPr>
  </w:style>
  <w:style w:type="character" w:customStyle="1" w:styleId="normaltextrun">
    <w:name w:val="normaltextrun"/>
    <w:basedOn w:val="DefaultParagraphFont"/>
    <w:rsid w:val="00A5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3968">
      <w:bodyDiv w:val="1"/>
      <w:marLeft w:val="0"/>
      <w:marRight w:val="0"/>
      <w:marTop w:val="0"/>
      <w:marBottom w:val="0"/>
      <w:divBdr>
        <w:top w:val="none" w:sz="0" w:space="0" w:color="auto"/>
        <w:left w:val="none" w:sz="0" w:space="0" w:color="auto"/>
        <w:bottom w:val="none" w:sz="0" w:space="0" w:color="auto"/>
        <w:right w:val="none" w:sz="0" w:space="0" w:color="auto"/>
      </w:divBdr>
    </w:div>
    <w:div w:id="9316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legislature.ky.gov/law/statutes/statute.aspx?id=400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legislature.ky.gov/law/statutes/statute.aspx?id=400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DEOCTEPOSApplicationReview@education.k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s.legislature.ky.gov/law/statutes/statute.aspx?id=4007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law/statutes/statute.aspx?id=4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8FEEE6B28F9A7E4FB3E000634F2F5552" ma:contentTypeVersion="29" ma:contentTypeDescription="" ma:contentTypeScope="" ma:versionID="a12ad46290072d0dadfbcdab64dde9e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bf53235365eb3ab8d60bf2e0406a79d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OCTE - Career and Technical Education</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2025-09-09T04:00:00+00:00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2025-09-09T04:00:00+00:00</Publication_x0020_Date>
    <Audience1 xmlns="3a62de7d-ba57-4f43-9dae-9623ba637be0"/>
    <_dlc_DocId xmlns="3a62de7d-ba57-4f43-9dae-9623ba637be0">KYED-830577068-29</_dlc_DocId>
    <_dlc_DocIdUrl xmlns="3a62de7d-ba57-4f43-9dae-9623ba637be0">
      <Url>https://education-edit.ky.gov/CTE/perkins/_layouts/15/DocIdRedir.aspx?ID=KYED-830577068-29</Url>
      <Description>KYED-830577068-29</Description>
    </_dlc_DocIdUrl>
  </documentManagement>
</p:properties>
</file>

<file path=customXml/itemProps1.xml><?xml version="1.0" encoding="utf-8"?>
<ds:datastoreItem xmlns:ds="http://schemas.openxmlformats.org/officeDocument/2006/customXml" ds:itemID="{F4EBBD0F-FA13-491F-A5B9-0CD73352E423}">
  <ds:schemaRefs>
    <ds:schemaRef ds:uri="http://schemas.microsoft.com/sharepoint/events"/>
  </ds:schemaRefs>
</ds:datastoreItem>
</file>

<file path=customXml/itemProps2.xml><?xml version="1.0" encoding="utf-8"?>
<ds:datastoreItem xmlns:ds="http://schemas.openxmlformats.org/officeDocument/2006/customXml" ds:itemID="{1FE985C0-79F5-409E-8E34-81EC364D8241}">
  <ds:schemaRefs>
    <ds:schemaRef ds:uri="http://schemas.microsoft.com/sharepoint/v3/contenttype/forms"/>
  </ds:schemaRefs>
</ds:datastoreItem>
</file>

<file path=customXml/itemProps3.xml><?xml version="1.0" encoding="utf-8"?>
<ds:datastoreItem xmlns:ds="http://schemas.openxmlformats.org/officeDocument/2006/customXml" ds:itemID="{9390FC7C-1E38-438F-A50B-12BF13E26A60}">
  <ds:schemaRefs>
    <ds:schemaRef ds:uri="http://schemas.openxmlformats.org/officeDocument/2006/bibliography"/>
  </ds:schemaRefs>
</ds:datastoreItem>
</file>

<file path=customXml/itemProps4.xml><?xml version="1.0" encoding="utf-8"?>
<ds:datastoreItem xmlns:ds="http://schemas.openxmlformats.org/officeDocument/2006/customXml" ds:itemID="{7A178EBA-77C4-4349-A00C-F411A39B5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4864D-6ADF-44E5-89FB-17BDB50994BB}">
  <ds:schemaRefs>
    <ds:schemaRef ds:uri="http://schemas.microsoft.com/office/2006/metadata/properties"/>
    <ds:schemaRef ds:uri="http://schemas.microsoft.com/office/infopath/2007/PartnerControls"/>
    <ds:schemaRef ds:uri="66c60b7e-224f-490d-8763-97e7b0b6508c"/>
    <ds:schemaRef ds:uri="48799836-9951-4f8c-a2ec-7dadf4203b57"/>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U'Sellis, Scott - Division of College &amp; Career Readiness</dc:creator>
  <cp:keywords/>
  <dc:description/>
  <cp:lastModifiedBy>Christian, Claude - Division of Technical Schools and Continuous Improvement</cp:lastModifiedBy>
  <cp:revision>2</cp:revision>
  <cp:lastPrinted>2019-03-19T17:52:00Z</cp:lastPrinted>
  <dcterms:created xsi:type="dcterms:W3CDTF">2025-09-09T14:43:00Z</dcterms:created>
  <dcterms:modified xsi:type="dcterms:W3CDTF">2025-09-09T14:43:00Z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0x0101001BEB557DBE01834EAB47A683706DCD5B008FEEE6B28F9A7E4FB3E000634F2F5552</vt:lpwstr>
  </property>
  <property fmtid="{D5CDD505-2E9C-101B-9397-08002B2CF9AE}" pid="3" name="MSIP_Label_eb544694-0027-44fa-bee4-2648c0363f9d_Enabled">
    <vt:lpwstr>true</vt:lpwstr>
  </property>
  <property fmtid="{D5CDD505-2E9C-101B-9397-08002B2CF9AE}" pid="4" name="MSIP_Label_eb544694-0027-44fa-bee4-2648c0363f9d_SetDate">
    <vt:lpwstr>2024-11-15T12:51:15Z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2638988a-ef63-43ec-a263-a522dcf859d5</vt:lpwstr>
  </property>
  <property fmtid="{D5CDD505-2E9C-101B-9397-08002B2CF9AE}" pid="9" name="MSIP_Label_eb544694-0027-44fa-bee4-2648c0363f9d_ContentBits">
    <vt:lpwstr>0</vt:lpwstr>
  </property>
  <property fmtid="{D5CDD505-2E9C-101B-9397-08002B2CF9AE}" pid="10" name="MediaServiceImageTags">
    <vt:lpwstr/>
  </property>
  <property fmtid="{D5CDD505-2E9C-101B-9397-08002B2CF9AE}" pid="11" name="_dlc_DocIdItemGuid">
    <vt:lpwstr>82e1d2bc-885c-43c7-83e9-cf98665f7753</vt:lpwstr>
  </property>
</Properties>
</file>